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652D" w14:textId="027AD1DC" w:rsidR="00A00FE1" w:rsidRPr="00A00FE1" w:rsidRDefault="00A00FE1" w:rsidP="00A00FE1">
      <w:pPr>
        <w:jc w:val="center"/>
        <w:rPr>
          <w:rFonts w:ascii="Arial" w:hAnsi="Arial" w:cs="Arial"/>
          <w:b/>
          <w:bCs/>
          <w:sz w:val="28"/>
          <w:szCs w:val="28"/>
          <w:lang w:val="en-GB"/>
        </w:rPr>
      </w:pPr>
      <w:r w:rsidRPr="00A00FE1">
        <w:rPr>
          <w:rFonts w:ascii="Arial" w:hAnsi="Arial" w:cs="Arial"/>
          <w:b/>
          <w:bCs/>
          <w:noProof/>
          <w:sz w:val="28"/>
          <w:szCs w:val="28"/>
          <w:lang w:val="en-GB"/>
        </w:rPr>
        <w:drawing>
          <wp:inline distT="0" distB="0" distL="0" distR="0" wp14:anchorId="6FA91C4B" wp14:editId="53333238">
            <wp:extent cx="1819275" cy="1768907"/>
            <wp:effectExtent l="0" t="0" r="0" b="3175"/>
            <wp:docPr id="898758161" name="Picture 2" descr="WF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58161" name="Picture 2" descr="WFD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497" cy="1782735"/>
                    </a:xfrm>
                    <a:prstGeom prst="rect">
                      <a:avLst/>
                    </a:prstGeom>
                    <a:noFill/>
                    <a:ln>
                      <a:noFill/>
                    </a:ln>
                  </pic:spPr>
                </pic:pic>
              </a:graphicData>
            </a:graphic>
          </wp:inline>
        </w:drawing>
      </w:r>
    </w:p>
    <w:p w14:paraId="09F442ED" w14:textId="77777777" w:rsidR="00A00FE1" w:rsidRDefault="00A00FE1" w:rsidP="00A00FE1">
      <w:pPr>
        <w:rPr>
          <w:rFonts w:ascii="Arial" w:hAnsi="Arial" w:cs="Arial"/>
          <w:b/>
          <w:bCs/>
          <w:sz w:val="28"/>
          <w:szCs w:val="28"/>
          <w:lang w:val="en-US"/>
        </w:rPr>
      </w:pPr>
    </w:p>
    <w:p w14:paraId="221D59A7" w14:textId="77777777" w:rsidR="00A00FE1" w:rsidRPr="00F111FA" w:rsidRDefault="00A00FE1" w:rsidP="00A00FE1">
      <w:pPr>
        <w:jc w:val="center"/>
        <w:rPr>
          <w:rFonts w:ascii="Arial" w:hAnsi="Arial" w:cs="Arial"/>
          <w:b/>
          <w:bCs/>
          <w:sz w:val="28"/>
          <w:szCs w:val="28"/>
          <w:lang w:val="es-ES"/>
        </w:rPr>
      </w:pPr>
      <w:r w:rsidRPr="00F111FA">
        <w:rPr>
          <w:rFonts w:ascii="Arial" w:hAnsi="Arial" w:cs="Arial"/>
          <w:b/>
          <w:bCs/>
          <w:sz w:val="28"/>
          <w:szCs w:val="28"/>
          <w:lang w:val="es-ES"/>
        </w:rPr>
        <w:t>La Federación Mundial de Sordociegos (WFDB)</w:t>
      </w:r>
    </w:p>
    <w:p w14:paraId="07752487" w14:textId="77777777" w:rsidR="00A00FE1" w:rsidRPr="00F111FA" w:rsidRDefault="00A00FE1" w:rsidP="00C9394B">
      <w:pPr>
        <w:jc w:val="center"/>
        <w:rPr>
          <w:rFonts w:ascii="Arial" w:hAnsi="Arial" w:cs="Arial"/>
          <w:b/>
          <w:bCs/>
          <w:sz w:val="28"/>
          <w:szCs w:val="28"/>
          <w:lang w:val="es-ES"/>
        </w:rPr>
      </w:pPr>
    </w:p>
    <w:p w14:paraId="113F2FCA" w14:textId="77777777" w:rsidR="00F111FA" w:rsidRDefault="00F111FA" w:rsidP="00A00FE1">
      <w:pPr>
        <w:jc w:val="center"/>
        <w:rPr>
          <w:rFonts w:ascii="Arial" w:hAnsi="Arial" w:cs="Arial"/>
          <w:b/>
          <w:bCs/>
          <w:sz w:val="28"/>
          <w:szCs w:val="28"/>
          <w:lang w:val="es-ES"/>
        </w:rPr>
      </w:pPr>
      <w:r w:rsidRPr="00F111FA">
        <w:rPr>
          <w:rFonts w:ascii="Arial" w:hAnsi="Arial" w:cs="Arial"/>
          <w:b/>
          <w:bCs/>
          <w:sz w:val="28"/>
          <w:szCs w:val="28"/>
          <w:lang w:val="es-ES"/>
        </w:rPr>
        <w:t xml:space="preserve">mayo de 2025 </w:t>
      </w:r>
    </w:p>
    <w:p w14:paraId="31473C5B" w14:textId="77777777" w:rsidR="00F111FA" w:rsidRPr="00F111FA" w:rsidRDefault="00F111FA" w:rsidP="00A00FE1">
      <w:pPr>
        <w:jc w:val="center"/>
        <w:rPr>
          <w:rFonts w:ascii="Arial" w:hAnsi="Arial" w:cs="Arial"/>
          <w:b/>
          <w:bCs/>
          <w:sz w:val="28"/>
          <w:szCs w:val="28"/>
          <w:lang w:val="es-ES"/>
        </w:rPr>
      </w:pPr>
    </w:p>
    <w:p w14:paraId="65B1AC33" w14:textId="569604D7" w:rsidR="00C9394B" w:rsidRPr="00F111FA" w:rsidRDefault="00C9394B" w:rsidP="00A00FE1">
      <w:pPr>
        <w:jc w:val="center"/>
        <w:rPr>
          <w:rStyle w:val="Heading1Char"/>
          <w:rFonts w:ascii="Arial" w:eastAsiaTheme="minorHAnsi" w:hAnsi="Arial" w:cs="Arial"/>
          <w:b/>
          <w:bCs/>
          <w:color w:val="auto"/>
          <w:sz w:val="28"/>
          <w:szCs w:val="28"/>
          <w:lang w:val="es-ES"/>
        </w:rPr>
      </w:pPr>
      <w:r w:rsidRPr="00A00FE1">
        <w:rPr>
          <w:rStyle w:val="Heading1Char"/>
          <w:rFonts w:ascii="Arial" w:hAnsi="Arial" w:cs="Arial"/>
          <w:b/>
          <w:bCs/>
        </w:rPr>
        <w:t xml:space="preserve">Declaración pública </w:t>
      </w:r>
      <w:r w:rsidR="00A00FE1" w:rsidRPr="00A00FE1">
        <w:rPr>
          <w:rStyle w:val="Heading1Char"/>
          <w:rFonts w:ascii="Arial" w:hAnsi="Arial" w:cs="Arial"/>
          <w:b/>
          <w:bCs/>
        </w:rPr>
        <w:br/>
      </w:r>
      <w:r w:rsidR="00A00FE1" w:rsidRPr="00F111FA">
        <w:rPr>
          <w:rStyle w:val="Heading1Char"/>
          <w:rFonts w:ascii="Arial" w:hAnsi="Arial" w:cs="Arial"/>
          <w:b/>
          <w:bCs/>
        </w:rPr>
        <w:t>sobre</w:t>
      </w:r>
      <w:r w:rsidR="00A00FE1" w:rsidRPr="00F111FA">
        <w:rPr>
          <w:rStyle w:val="Heading1Char"/>
          <w:rFonts w:ascii="Arial" w:hAnsi="Arial" w:cs="Arial"/>
        </w:rPr>
        <w:t xml:space="preserve"> </w:t>
      </w:r>
      <w:r w:rsidRPr="00A00FE1">
        <w:rPr>
          <w:rStyle w:val="Heading1Char"/>
          <w:rFonts w:ascii="Arial" w:hAnsi="Arial" w:cs="Arial"/>
          <w:b/>
          <w:bCs/>
        </w:rPr>
        <w:t>las tarifas de interpretación para personas sordociegas/</w:t>
      </w:r>
      <w:r w:rsidR="00F111FA">
        <w:rPr>
          <w:rStyle w:val="Heading1Char"/>
          <w:rFonts w:ascii="Arial" w:hAnsi="Arial" w:cs="Arial"/>
          <w:b/>
          <w:bCs/>
        </w:rPr>
        <w:t>guías intérpretes</w:t>
      </w:r>
    </w:p>
    <w:p w14:paraId="04671B97" w14:textId="658FEB33" w:rsidR="001B6A60" w:rsidRPr="00F111FA" w:rsidRDefault="00C9394B" w:rsidP="00A00FE1">
      <w:pPr>
        <w:pStyle w:val="NormalWeb"/>
        <w:spacing w:line="360" w:lineRule="auto"/>
        <w:rPr>
          <w:rFonts w:ascii="Arial" w:hAnsi="Arial" w:cs="Arial"/>
          <w:lang w:val="es-ES"/>
        </w:rPr>
      </w:pPr>
      <w:r w:rsidRPr="00F111FA">
        <w:rPr>
          <w:rFonts w:ascii="Arial" w:hAnsi="Arial" w:cs="Arial"/>
          <w:lang w:val="es-ES"/>
        </w:rPr>
        <w:t xml:space="preserve">La </w:t>
      </w:r>
      <w:r w:rsidRPr="00F111FA">
        <w:rPr>
          <w:rFonts w:ascii="Arial" w:eastAsiaTheme="majorEastAsia" w:hAnsi="Arial" w:cs="Arial"/>
          <w:lang w:val="es-ES"/>
        </w:rPr>
        <w:t xml:space="preserve">Federación Mundial de Sordociegos (WFDB) </w:t>
      </w:r>
      <w:r w:rsidRPr="00F111FA">
        <w:rPr>
          <w:rFonts w:ascii="Arial" w:hAnsi="Arial" w:cs="Arial"/>
          <w:lang w:val="es-ES"/>
        </w:rPr>
        <w:t>defiende firmemente el derecho de las personas con sordoceguera a acceder a servicios de interpretación profesionales de alta calidad y a disfrutar de igualdad de acceso a la información y la comunicación. La WFDB es una auténtica voz global de las personas con sordoceguera, representando a uno de los grupos de personas con discapacidad menos representados, muy heterogéneo, con necesidades de apoyo específicas y adaptadas a cada persona en relación con la comunicación, la inclusión social, la orientación, la descripción del entorno y la movilidad. A pesar de los avances, persisten los desafíos para garantizar un reconocimiento uniforme y una remuneración equitativa para los intérpretes</w:t>
      </w:r>
      <w:r w:rsidR="00F111FA">
        <w:rPr>
          <w:rFonts w:ascii="Arial" w:hAnsi="Arial" w:cs="Arial"/>
          <w:lang w:val="es-ES"/>
        </w:rPr>
        <w:t xml:space="preserve"> para sordociegos</w:t>
      </w:r>
      <w:r w:rsidRPr="00F111FA">
        <w:rPr>
          <w:rFonts w:ascii="Arial" w:hAnsi="Arial" w:cs="Arial"/>
          <w:lang w:val="es-ES"/>
        </w:rPr>
        <w:t>/guías</w:t>
      </w:r>
      <w:r w:rsidR="00F111FA">
        <w:rPr>
          <w:rFonts w:ascii="Arial" w:hAnsi="Arial" w:cs="Arial"/>
          <w:lang w:val="es-ES"/>
        </w:rPr>
        <w:t xml:space="preserve"> </w:t>
      </w:r>
      <w:r w:rsidRPr="00F111FA">
        <w:rPr>
          <w:rFonts w:ascii="Arial" w:hAnsi="Arial" w:cs="Arial"/>
          <w:lang w:val="es-ES"/>
        </w:rPr>
        <w:t xml:space="preserve">intérpretes cualificados en eventos, reuniones y foros internacionales. Este problema se ha observado en diversas plataformas de alto nivel, como el Parlamento Europeo, la Conferencia de los </w:t>
      </w:r>
      <w:r w:rsidR="00F111FA" w:rsidRPr="00F111FA">
        <w:rPr>
          <w:rFonts w:ascii="Arial" w:hAnsi="Arial" w:cs="Arial"/>
          <w:lang w:val="es-ES"/>
        </w:rPr>
        <w:t>Estados Parte</w:t>
      </w:r>
      <w:r w:rsidRPr="00F111FA">
        <w:rPr>
          <w:rFonts w:ascii="Arial" w:hAnsi="Arial" w:cs="Arial"/>
          <w:lang w:val="es-ES"/>
        </w:rPr>
        <w:t xml:space="preserve"> (COSP), la Comisión de la Condición Jurídica y Social de la Mujer (CSW) y la Cumbre Mundial sobre la Discapacidad (GDS), entre otras.</w:t>
      </w:r>
    </w:p>
    <w:p w14:paraId="620786F7" w14:textId="1E9F1505" w:rsidR="00C9394B" w:rsidRPr="00F111FA" w:rsidRDefault="00C9394B" w:rsidP="00A00FE1">
      <w:pPr>
        <w:pStyle w:val="NormalWeb"/>
        <w:spacing w:line="360" w:lineRule="auto"/>
        <w:rPr>
          <w:rFonts w:ascii="Arial" w:hAnsi="Arial" w:cs="Arial"/>
          <w:lang w:val="es-ES"/>
        </w:rPr>
      </w:pPr>
      <w:r w:rsidRPr="00F111FA">
        <w:rPr>
          <w:rFonts w:ascii="Arial" w:hAnsi="Arial" w:cs="Arial"/>
          <w:lang w:val="es-ES"/>
        </w:rPr>
        <w:t xml:space="preserve">Con frecuencia, nos encontramos con </w:t>
      </w:r>
      <w:r w:rsidRPr="00F111FA">
        <w:rPr>
          <w:rFonts w:ascii="Arial" w:eastAsiaTheme="majorEastAsia" w:hAnsi="Arial" w:cs="Arial"/>
          <w:lang w:val="es-ES"/>
        </w:rPr>
        <w:t xml:space="preserve">políticas inconsistentes, déficits sistémicos de financiación y una infravaloración persistente de los servicios de interpretación para personas </w:t>
      </w:r>
      <w:r w:rsidR="00F111FA" w:rsidRPr="00F111FA">
        <w:rPr>
          <w:rFonts w:ascii="Arial" w:eastAsiaTheme="majorEastAsia" w:hAnsi="Arial" w:cs="Arial"/>
          <w:lang w:val="es-ES"/>
        </w:rPr>
        <w:t>sordociegas,</w:t>
      </w:r>
      <w:r w:rsidRPr="00F111FA">
        <w:rPr>
          <w:rFonts w:ascii="Arial" w:hAnsi="Arial" w:cs="Arial"/>
          <w:lang w:val="es-ES"/>
        </w:rPr>
        <w:t xml:space="preserve"> lo que dificulta que los participantes sordociegos obtengan el apoyo cualificado que necesitan. En muchos casos, si bien </w:t>
      </w:r>
      <w:r w:rsidRPr="00F111FA">
        <w:rPr>
          <w:rFonts w:ascii="Arial" w:eastAsiaTheme="majorEastAsia" w:hAnsi="Arial" w:cs="Arial"/>
          <w:lang w:val="es-ES"/>
        </w:rPr>
        <w:t xml:space="preserve">los intérpretes de lengua </w:t>
      </w:r>
      <w:r w:rsidRPr="00F111FA">
        <w:rPr>
          <w:rFonts w:ascii="Arial" w:eastAsiaTheme="majorEastAsia" w:hAnsi="Arial" w:cs="Arial"/>
          <w:lang w:val="es-ES"/>
        </w:rPr>
        <w:lastRenderedPageBreak/>
        <w:t xml:space="preserve">de </w:t>
      </w:r>
      <w:r w:rsidR="00F111FA">
        <w:rPr>
          <w:rFonts w:ascii="Arial" w:eastAsiaTheme="majorEastAsia" w:hAnsi="Arial" w:cs="Arial"/>
          <w:lang w:val="es-ES"/>
        </w:rPr>
        <w:t>signos</w:t>
      </w:r>
      <w:r w:rsidRPr="00F111FA">
        <w:rPr>
          <w:rFonts w:ascii="Arial" w:eastAsiaTheme="majorEastAsia" w:hAnsi="Arial" w:cs="Arial"/>
          <w:lang w:val="es-ES"/>
        </w:rPr>
        <w:t xml:space="preserve"> para personas sordas reciben una financiación </w:t>
      </w:r>
      <w:r w:rsidR="00F111FA" w:rsidRPr="00F111FA">
        <w:rPr>
          <w:rFonts w:ascii="Arial" w:eastAsiaTheme="majorEastAsia" w:hAnsi="Arial" w:cs="Arial"/>
          <w:lang w:val="es-ES"/>
        </w:rPr>
        <w:t>adecuada,</w:t>
      </w:r>
      <w:r w:rsidRPr="00F111FA">
        <w:rPr>
          <w:rFonts w:ascii="Arial" w:hAnsi="Arial" w:cs="Arial"/>
          <w:lang w:val="es-ES"/>
        </w:rPr>
        <w:t xml:space="preserve"> los intérpretes </w:t>
      </w:r>
      <w:r w:rsidR="00F111FA">
        <w:rPr>
          <w:rFonts w:ascii="Arial" w:hAnsi="Arial" w:cs="Arial"/>
          <w:lang w:val="es-ES"/>
        </w:rPr>
        <w:t xml:space="preserve">de personas </w:t>
      </w:r>
      <w:r w:rsidRPr="00F111FA">
        <w:rPr>
          <w:rFonts w:ascii="Arial" w:hAnsi="Arial" w:cs="Arial"/>
          <w:lang w:val="es-ES"/>
        </w:rPr>
        <w:t>sordociegos reciben un salario significativamente menor o, en algunos casos, no reciben financiación alguna. Esto crea una importante barrera para la igualdad de acceso, es decir, la posibilidad de participar de forma plena e independiente, en igualdad de condiciones con los demás.</w:t>
      </w:r>
    </w:p>
    <w:p w14:paraId="249373AA" w14:textId="58F6ABA2" w:rsidR="00AD0DC5" w:rsidRPr="00F111FA" w:rsidRDefault="00AD0DC5" w:rsidP="00A00FE1">
      <w:pPr>
        <w:pStyle w:val="Heading2"/>
        <w:spacing w:line="360" w:lineRule="auto"/>
        <w:rPr>
          <w:rFonts w:ascii="Arial" w:eastAsia="Times New Roman" w:hAnsi="Arial" w:cs="Arial"/>
          <w:b/>
          <w:bCs/>
          <w:lang w:val="es-ES"/>
        </w:rPr>
      </w:pPr>
      <w:r w:rsidRPr="00F111FA">
        <w:rPr>
          <w:rFonts w:ascii="Arial" w:eastAsia="Times New Roman" w:hAnsi="Arial" w:cs="Arial"/>
          <w:b/>
          <w:bCs/>
          <w:lang w:val="es-ES"/>
        </w:rPr>
        <w:t>El papel específico y la necesidad crítica de los intérpretes</w:t>
      </w:r>
      <w:r w:rsidR="00F111FA">
        <w:rPr>
          <w:rFonts w:ascii="Arial" w:eastAsia="Times New Roman" w:hAnsi="Arial" w:cs="Arial"/>
          <w:b/>
          <w:bCs/>
          <w:lang w:val="es-ES"/>
        </w:rPr>
        <w:t xml:space="preserve"> para</w:t>
      </w:r>
      <w:r w:rsidRPr="00F111FA">
        <w:rPr>
          <w:rFonts w:ascii="Arial" w:eastAsia="Times New Roman" w:hAnsi="Arial" w:cs="Arial"/>
          <w:b/>
          <w:bCs/>
          <w:lang w:val="es-ES"/>
        </w:rPr>
        <w:t xml:space="preserve"> sordociegos</w:t>
      </w:r>
    </w:p>
    <w:p w14:paraId="2597212C" w14:textId="66403464" w:rsidR="00C9394B" w:rsidRPr="00F111FA" w:rsidRDefault="00C9394B" w:rsidP="00A00FE1">
      <w:pPr>
        <w:pStyle w:val="NormalWeb"/>
        <w:spacing w:line="360" w:lineRule="auto"/>
        <w:rPr>
          <w:rFonts w:ascii="Arial" w:hAnsi="Arial" w:cs="Arial"/>
          <w:lang w:val="es-ES"/>
        </w:rPr>
      </w:pPr>
      <w:r w:rsidRPr="00F111FA">
        <w:rPr>
          <w:rFonts w:ascii="Arial" w:hAnsi="Arial" w:cs="Arial"/>
          <w:lang w:val="es-ES"/>
        </w:rPr>
        <w:t xml:space="preserve">Es fundamental distinguir entre </w:t>
      </w:r>
      <w:r w:rsidRPr="00F111FA">
        <w:rPr>
          <w:rFonts w:ascii="Arial" w:eastAsiaTheme="majorEastAsia" w:hAnsi="Arial" w:cs="Arial"/>
          <w:lang w:val="es-ES"/>
        </w:rPr>
        <w:t xml:space="preserve">intérpretes de lengua de </w:t>
      </w:r>
      <w:r w:rsidR="00F111FA">
        <w:rPr>
          <w:rFonts w:ascii="Arial" w:eastAsiaTheme="majorEastAsia" w:hAnsi="Arial" w:cs="Arial"/>
          <w:lang w:val="es-ES"/>
        </w:rPr>
        <w:t>signos</w:t>
      </w:r>
      <w:r w:rsidRPr="00F111FA">
        <w:rPr>
          <w:rFonts w:ascii="Arial" w:eastAsiaTheme="majorEastAsia" w:hAnsi="Arial" w:cs="Arial"/>
          <w:lang w:val="es-ES"/>
        </w:rPr>
        <w:t xml:space="preserve"> </w:t>
      </w:r>
      <w:r w:rsidRPr="00F111FA">
        <w:rPr>
          <w:rFonts w:ascii="Arial" w:hAnsi="Arial" w:cs="Arial"/>
          <w:lang w:val="es-ES"/>
        </w:rPr>
        <w:t xml:space="preserve">e </w:t>
      </w:r>
      <w:r w:rsidR="001A0A4D" w:rsidRPr="00F111FA">
        <w:rPr>
          <w:rFonts w:ascii="Arial" w:eastAsiaTheme="majorEastAsia" w:hAnsi="Arial" w:cs="Arial"/>
          <w:lang w:val="es-ES"/>
        </w:rPr>
        <w:t>intérpretes</w:t>
      </w:r>
      <w:r w:rsidR="00F111FA">
        <w:rPr>
          <w:rFonts w:ascii="Arial" w:eastAsiaTheme="majorEastAsia" w:hAnsi="Arial" w:cs="Arial"/>
          <w:lang w:val="es-ES"/>
        </w:rPr>
        <w:t xml:space="preserve"> para sordociegos</w:t>
      </w:r>
      <w:r w:rsidR="001A0A4D" w:rsidRPr="00F111FA">
        <w:rPr>
          <w:rFonts w:ascii="Arial" w:eastAsiaTheme="majorEastAsia" w:hAnsi="Arial" w:cs="Arial"/>
          <w:lang w:val="es-ES"/>
        </w:rPr>
        <w:t>/guías</w:t>
      </w:r>
      <w:r w:rsidR="00F111FA">
        <w:rPr>
          <w:rFonts w:ascii="Arial" w:eastAsiaTheme="majorEastAsia" w:hAnsi="Arial" w:cs="Arial"/>
          <w:lang w:val="es-ES"/>
        </w:rPr>
        <w:t xml:space="preserve"> </w:t>
      </w:r>
      <w:r w:rsidR="001A0A4D" w:rsidRPr="00F111FA">
        <w:rPr>
          <w:rFonts w:ascii="Arial" w:eastAsiaTheme="majorEastAsia" w:hAnsi="Arial" w:cs="Arial"/>
          <w:lang w:val="es-ES"/>
        </w:rPr>
        <w:t>intérpretes</w:t>
      </w:r>
      <w:r w:rsidRPr="00F111FA">
        <w:rPr>
          <w:rFonts w:ascii="Arial" w:hAnsi="Arial" w:cs="Arial"/>
          <w:lang w:val="es-ES"/>
        </w:rPr>
        <w:t xml:space="preserve">, ya que estos roles </w:t>
      </w:r>
      <w:r w:rsidRPr="00F111FA">
        <w:rPr>
          <w:rFonts w:ascii="Arial" w:eastAsiaTheme="majorEastAsia" w:hAnsi="Arial" w:cs="Arial"/>
          <w:lang w:val="es-ES"/>
        </w:rPr>
        <w:t xml:space="preserve">no son </w:t>
      </w:r>
      <w:r w:rsidR="00F111FA" w:rsidRPr="00F111FA">
        <w:rPr>
          <w:rFonts w:ascii="Arial" w:eastAsiaTheme="majorEastAsia" w:hAnsi="Arial" w:cs="Arial"/>
          <w:lang w:val="es-ES"/>
        </w:rPr>
        <w:t>intercambiables:</w:t>
      </w:r>
    </w:p>
    <w:p w14:paraId="5CA94F6D" w14:textId="4EE4BC33" w:rsidR="009457AC" w:rsidRPr="00314C7B" w:rsidRDefault="00C9394B" w:rsidP="00A00FE1">
      <w:pPr>
        <w:pStyle w:val="NormalWeb"/>
        <w:numPr>
          <w:ilvl w:val="0"/>
          <w:numId w:val="1"/>
        </w:numPr>
        <w:spacing w:line="360" w:lineRule="auto"/>
        <w:rPr>
          <w:rFonts w:ascii="Arial" w:hAnsi="Arial" w:cs="Arial"/>
          <w:lang w:val="en-US"/>
        </w:rPr>
      </w:pPr>
      <w:r w:rsidRPr="00F111FA">
        <w:rPr>
          <w:rFonts w:ascii="Arial" w:hAnsi="Arial" w:cs="Arial"/>
          <w:lang w:val="es-ES"/>
        </w:rPr>
        <w:t xml:space="preserve">Los intérpretes de lengua de </w:t>
      </w:r>
      <w:r w:rsidR="00F111FA">
        <w:rPr>
          <w:rFonts w:ascii="Arial" w:hAnsi="Arial" w:cs="Arial"/>
          <w:lang w:val="es-ES"/>
        </w:rPr>
        <w:t>signos</w:t>
      </w:r>
      <w:r w:rsidRPr="00F111FA">
        <w:rPr>
          <w:rFonts w:ascii="Arial" w:hAnsi="Arial" w:cs="Arial"/>
          <w:lang w:val="es-ES"/>
        </w:rPr>
        <w:t xml:space="preserve"> para personas sordas o con dificultades auditivas interpretan el lenguaje hablado al</w:t>
      </w:r>
      <w:r w:rsidR="00F111FA">
        <w:rPr>
          <w:rFonts w:ascii="Arial" w:hAnsi="Arial" w:cs="Arial"/>
          <w:lang w:val="es-ES"/>
        </w:rPr>
        <w:t xml:space="preserve"> </w:t>
      </w:r>
      <w:r w:rsidR="00F111FA" w:rsidRPr="00F111FA">
        <w:rPr>
          <w:rFonts w:ascii="Arial" w:hAnsi="Arial" w:cs="Arial"/>
          <w:lang w:val="es-ES"/>
        </w:rPr>
        <w:t>Sistema de Signos Internacional</w:t>
      </w:r>
      <w:r w:rsidR="00F111FA">
        <w:rPr>
          <w:rFonts w:ascii="Arial" w:hAnsi="Arial" w:cs="Arial"/>
          <w:lang w:val="es-ES"/>
        </w:rPr>
        <w:t xml:space="preserve"> </w:t>
      </w:r>
      <w:r w:rsidRPr="00F111FA">
        <w:rPr>
          <w:rFonts w:ascii="Arial" w:hAnsi="Arial" w:cs="Arial"/>
          <w:lang w:val="es-ES"/>
        </w:rPr>
        <w:t xml:space="preserve">o </w:t>
      </w:r>
      <w:r w:rsidR="00F111FA">
        <w:rPr>
          <w:rFonts w:ascii="Arial" w:hAnsi="Arial" w:cs="Arial"/>
          <w:lang w:val="es-ES"/>
        </w:rPr>
        <w:t xml:space="preserve">lengua de signos </w:t>
      </w:r>
      <w:r w:rsidRPr="00F111FA">
        <w:rPr>
          <w:rFonts w:ascii="Arial" w:hAnsi="Arial" w:cs="Arial"/>
          <w:lang w:val="es-ES"/>
        </w:rPr>
        <w:t xml:space="preserve">nacionales. Suelen ofrecer interpretación en formato visual y no tienen responsabilidades más allá de la facilitación de la comunicación. </w:t>
      </w:r>
      <w:proofErr w:type="spellStart"/>
      <w:r w:rsidRPr="00314C7B">
        <w:rPr>
          <w:rFonts w:ascii="Arial" w:hAnsi="Arial" w:cs="Arial"/>
          <w:lang w:val="en-US"/>
        </w:rPr>
        <w:t>Estos</w:t>
      </w:r>
      <w:proofErr w:type="spellEnd"/>
      <w:r w:rsidRPr="00314C7B">
        <w:rPr>
          <w:rFonts w:ascii="Arial" w:hAnsi="Arial" w:cs="Arial"/>
          <w:lang w:val="en-US"/>
        </w:rPr>
        <w:t xml:space="preserve"> </w:t>
      </w:r>
      <w:proofErr w:type="spellStart"/>
      <w:r w:rsidRPr="00314C7B">
        <w:rPr>
          <w:rFonts w:ascii="Arial" w:hAnsi="Arial" w:cs="Arial"/>
          <w:lang w:val="en-US"/>
        </w:rPr>
        <w:t>intérpretes</w:t>
      </w:r>
      <w:proofErr w:type="spellEnd"/>
      <w:r w:rsidRPr="00314C7B">
        <w:rPr>
          <w:rFonts w:ascii="Arial" w:hAnsi="Arial" w:cs="Arial"/>
          <w:lang w:val="en-US"/>
        </w:rPr>
        <w:t xml:space="preserve"> </w:t>
      </w:r>
      <w:proofErr w:type="spellStart"/>
      <w:r w:rsidRPr="00314C7B">
        <w:rPr>
          <w:rFonts w:ascii="Arial" w:hAnsi="Arial" w:cs="Arial"/>
          <w:lang w:val="en-US"/>
        </w:rPr>
        <w:t>cobran</w:t>
      </w:r>
      <w:proofErr w:type="spellEnd"/>
      <w:r w:rsidRPr="00314C7B">
        <w:rPr>
          <w:rFonts w:ascii="Arial" w:hAnsi="Arial" w:cs="Arial"/>
          <w:lang w:val="en-US"/>
        </w:rPr>
        <w:t xml:space="preserve"> </w:t>
      </w:r>
      <w:proofErr w:type="spellStart"/>
      <w:r w:rsidRPr="00314C7B">
        <w:rPr>
          <w:rFonts w:ascii="Arial" w:hAnsi="Arial" w:cs="Arial"/>
          <w:lang w:val="en-US"/>
        </w:rPr>
        <w:t>tarifas</w:t>
      </w:r>
      <w:proofErr w:type="spellEnd"/>
      <w:r w:rsidRPr="00314C7B">
        <w:rPr>
          <w:rFonts w:ascii="Arial" w:hAnsi="Arial" w:cs="Arial"/>
          <w:lang w:val="en-US"/>
        </w:rPr>
        <w:t xml:space="preserve"> profesionales estándar por sus servicios.</w:t>
      </w:r>
      <w:r w:rsidR="009457AC" w:rsidRPr="00314C7B">
        <w:rPr>
          <w:rFonts w:ascii="Arial" w:hAnsi="Arial" w:cs="Arial"/>
          <w:lang w:val="en-US"/>
        </w:rPr>
        <w:br/>
      </w:r>
    </w:p>
    <w:p w14:paraId="41648496" w14:textId="5714B6B6" w:rsidR="00C9394B" w:rsidRPr="00F111FA" w:rsidRDefault="001A0A4D" w:rsidP="00A00FE1">
      <w:pPr>
        <w:pStyle w:val="NormalWeb"/>
        <w:numPr>
          <w:ilvl w:val="0"/>
          <w:numId w:val="1"/>
        </w:numPr>
        <w:spacing w:line="360" w:lineRule="auto"/>
        <w:rPr>
          <w:rFonts w:ascii="Arial" w:hAnsi="Arial" w:cs="Arial"/>
          <w:lang w:val="es-ES"/>
        </w:rPr>
      </w:pPr>
      <w:r w:rsidRPr="00F111FA">
        <w:rPr>
          <w:rFonts w:ascii="Arial" w:hAnsi="Arial" w:cs="Arial"/>
          <w:lang w:val="es-ES"/>
        </w:rPr>
        <w:t>Los intérpretes</w:t>
      </w:r>
      <w:r w:rsidR="00F111FA">
        <w:rPr>
          <w:rFonts w:ascii="Arial" w:hAnsi="Arial" w:cs="Arial"/>
          <w:lang w:val="es-ES"/>
        </w:rPr>
        <w:t xml:space="preserve"> para sordociegos</w:t>
      </w:r>
      <w:r w:rsidRPr="00F111FA">
        <w:rPr>
          <w:rFonts w:ascii="Arial" w:hAnsi="Arial" w:cs="Arial"/>
          <w:lang w:val="es-ES"/>
        </w:rPr>
        <w:t xml:space="preserve"> o guías intérpretes asumen responsabilidades mucho mayores. Además de la interpretación lingüística, también ofrecen descripciones del entorno, comunicación táctil o en lengua de señas adaptada y orientación para la movilidad. Acompañan a las personas sordociegas en todo momento, incluso durante viajes, reuniones, descansos y desplazamientos entre lugares. A diferencia de los intérpretes de lengua de </w:t>
      </w:r>
      <w:r w:rsidR="00F111FA">
        <w:rPr>
          <w:rFonts w:ascii="Arial" w:hAnsi="Arial" w:cs="Arial"/>
          <w:lang w:val="es-ES"/>
        </w:rPr>
        <w:t>signo</w:t>
      </w:r>
      <w:r w:rsidRPr="00F111FA">
        <w:rPr>
          <w:rFonts w:ascii="Arial" w:hAnsi="Arial" w:cs="Arial"/>
          <w:lang w:val="es-ES"/>
        </w:rPr>
        <w:t xml:space="preserve"> estándar, deben adaptar su comunicación a las necesidades específicas de cada persona sordociega, que pueden variar considerablemente según las preferencias, necesidades y contexto individuales.</w:t>
      </w:r>
    </w:p>
    <w:p w14:paraId="483F34A0" w14:textId="34F1773C" w:rsidR="00C9394B" w:rsidRPr="00F111FA" w:rsidRDefault="00C9394B" w:rsidP="00A00FE1">
      <w:pPr>
        <w:pStyle w:val="NormalWeb"/>
        <w:spacing w:line="360" w:lineRule="auto"/>
        <w:rPr>
          <w:rFonts w:ascii="Arial" w:hAnsi="Arial" w:cs="Arial"/>
          <w:lang w:val="es-ES"/>
        </w:rPr>
      </w:pPr>
      <w:r w:rsidRPr="00F111FA">
        <w:rPr>
          <w:rFonts w:ascii="Arial" w:hAnsi="Arial" w:cs="Arial"/>
          <w:lang w:val="es-ES"/>
        </w:rPr>
        <w:t>A pesar de la exigencia de su trabajo, los intérpretes</w:t>
      </w:r>
      <w:r w:rsidR="00F111FA">
        <w:rPr>
          <w:rFonts w:ascii="Arial" w:hAnsi="Arial" w:cs="Arial"/>
          <w:lang w:val="es-ES"/>
        </w:rPr>
        <w:t xml:space="preserve"> para sordociegos</w:t>
      </w:r>
      <w:r w:rsidRPr="00F111FA">
        <w:rPr>
          <w:rFonts w:ascii="Arial" w:hAnsi="Arial" w:cs="Arial"/>
          <w:lang w:val="es-ES"/>
        </w:rPr>
        <w:t>/guías</w:t>
      </w:r>
      <w:r w:rsidR="00F111FA">
        <w:rPr>
          <w:rFonts w:ascii="Arial" w:hAnsi="Arial" w:cs="Arial"/>
          <w:lang w:val="es-ES"/>
        </w:rPr>
        <w:t xml:space="preserve"> </w:t>
      </w:r>
      <w:r w:rsidRPr="00F111FA">
        <w:rPr>
          <w:rFonts w:ascii="Arial" w:hAnsi="Arial" w:cs="Arial"/>
          <w:lang w:val="es-ES"/>
        </w:rPr>
        <w:t xml:space="preserve">intérpretes cualificados suelen recibir salarios significativamente inferiores a los de los intérpretes de lengua de </w:t>
      </w:r>
      <w:r w:rsidR="00F111FA">
        <w:rPr>
          <w:rFonts w:ascii="Arial" w:hAnsi="Arial" w:cs="Arial"/>
          <w:lang w:val="es-ES"/>
        </w:rPr>
        <w:t>signos</w:t>
      </w:r>
      <w:r w:rsidRPr="00F111FA">
        <w:rPr>
          <w:rFonts w:ascii="Arial" w:hAnsi="Arial" w:cs="Arial"/>
          <w:lang w:val="es-ES"/>
        </w:rPr>
        <w:t xml:space="preserve"> estándar. Esta injusta discrepancia genera barreras sistémicas para la participación de las personas con sordoceguera en foros internacionales.</w:t>
      </w:r>
    </w:p>
    <w:p w14:paraId="6DFE9F64" w14:textId="6DA18FD3" w:rsidR="009457AC" w:rsidRPr="00F111FA" w:rsidRDefault="00C9394B" w:rsidP="00A00FE1">
      <w:pPr>
        <w:pStyle w:val="Heading2"/>
        <w:spacing w:line="360" w:lineRule="auto"/>
        <w:rPr>
          <w:rFonts w:ascii="Arial" w:eastAsia="Times New Roman" w:hAnsi="Arial" w:cs="Arial"/>
          <w:b/>
          <w:bCs/>
          <w:lang w:val="es-ES"/>
        </w:rPr>
      </w:pPr>
      <w:r w:rsidRPr="00F111FA">
        <w:rPr>
          <w:rFonts w:ascii="Arial" w:eastAsia="Times New Roman" w:hAnsi="Arial" w:cs="Arial"/>
          <w:b/>
          <w:bCs/>
          <w:lang w:val="es-ES"/>
        </w:rPr>
        <w:lastRenderedPageBreak/>
        <w:t>Nuestro llamado a la acción</w:t>
      </w:r>
    </w:p>
    <w:p w14:paraId="1DFF4F5F" w14:textId="77777777" w:rsidR="00C9394B" w:rsidRPr="00F111FA" w:rsidRDefault="00C9394B" w:rsidP="00A00FE1">
      <w:pPr>
        <w:pStyle w:val="NormalWeb"/>
        <w:spacing w:line="360" w:lineRule="auto"/>
        <w:rPr>
          <w:rFonts w:ascii="Arial" w:hAnsi="Arial" w:cs="Arial"/>
          <w:lang w:val="es-ES"/>
        </w:rPr>
      </w:pPr>
      <w:r w:rsidRPr="00F111FA">
        <w:rPr>
          <w:rFonts w:ascii="Arial" w:hAnsi="Arial" w:cs="Arial"/>
          <w:lang w:val="es-ES"/>
        </w:rPr>
        <w:t>Para garantizar el acceso equitativo y defender los derechos de las personas con sordoceguera, hacemos un llamamiento a las organizaciones internacionales, los gobiernos y los organismos de financiación para que:</w:t>
      </w:r>
    </w:p>
    <w:p w14:paraId="143B3F28" w14:textId="52A948B7" w:rsidR="009457AC" w:rsidRPr="00F111FA" w:rsidRDefault="00F111FA" w:rsidP="00A00FE1">
      <w:pPr>
        <w:pStyle w:val="NormalWeb"/>
        <w:numPr>
          <w:ilvl w:val="0"/>
          <w:numId w:val="2"/>
        </w:numPr>
        <w:spacing w:line="360" w:lineRule="auto"/>
        <w:rPr>
          <w:rFonts w:ascii="Arial" w:hAnsi="Arial" w:cs="Arial"/>
          <w:lang w:val="es-ES"/>
        </w:rPr>
      </w:pPr>
      <w:r>
        <w:rPr>
          <w:rFonts w:ascii="Arial" w:hAnsi="Arial" w:cs="Arial"/>
          <w:lang w:val="es-ES"/>
        </w:rPr>
        <w:t>Se reconozca</w:t>
      </w:r>
      <w:r w:rsidR="00C9394B" w:rsidRPr="00F111FA">
        <w:rPr>
          <w:rFonts w:ascii="Arial" w:hAnsi="Arial" w:cs="Arial"/>
          <w:lang w:val="es-ES"/>
        </w:rPr>
        <w:t xml:space="preserve"> la interpretación para personas sordociegas como una profesión especializada que requiere una remuneración justa y estandarizada que refleje su complejidad.</w:t>
      </w:r>
      <w:r w:rsidR="009457AC" w:rsidRPr="00F111FA">
        <w:rPr>
          <w:rFonts w:ascii="Arial" w:hAnsi="Arial" w:cs="Arial"/>
          <w:lang w:val="es-ES"/>
        </w:rPr>
        <w:br/>
      </w:r>
    </w:p>
    <w:p w14:paraId="6FFB4D0B" w14:textId="6F37CD2D" w:rsidR="00C9394B" w:rsidRPr="00F111FA" w:rsidRDefault="00F111FA" w:rsidP="00A00FE1">
      <w:pPr>
        <w:pStyle w:val="NormalWeb"/>
        <w:numPr>
          <w:ilvl w:val="0"/>
          <w:numId w:val="2"/>
        </w:numPr>
        <w:spacing w:line="360" w:lineRule="auto"/>
        <w:rPr>
          <w:rFonts w:ascii="Arial" w:hAnsi="Arial" w:cs="Arial"/>
          <w:lang w:val="es-ES"/>
        </w:rPr>
      </w:pPr>
      <w:r>
        <w:rPr>
          <w:rFonts w:ascii="Arial" w:hAnsi="Arial" w:cs="Arial"/>
          <w:lang w:val="es-ES"/>
        </w:rPr>
        <w:t>Se garantice</w:t>
      </w:r>
      <w:r w:rsidR="00C9394B" w:rsidRPr="00F111FA">
        <w:rPr>
          <w:rFonts w:ascii="Arial" w:hAnsi="Arial" w:cs="Arial"/>
          <w:lang w:val="es-ES"/>
        </w:rPr>
        <w:t xml:space="preserve"> la paridad en las políticas de financiación para que los participantes sordociegos reciban el mismo nivel de apoyo que los participantes sordos, incluidos honorarios y recursos de interpretación adecuados.</w:t>
      </w:r>
      <w:r w:rsidR="009457AC" w:rsidRPr="00F111FA">
        <w:rPr>
          <w:rFonts w:ascii="Arial" w:hAnsi="Arial" w:cs="Arial"/>
          <w:lang w:val="es-ES"/>
        </w:rPr>
        <w:br/>
      </w:r>
    </w:p>
    <w:p w14:paraId="16C79B4E" w14:textId="3A1F3A2B" w:rsidR="00C9394B" w:rsidRPr="00F111FA" w:rsidRDefault="00F111FA" w:rsidP="00A00FE1">
      <w:pPr>
        <w:pStyle w:val="NormalWeb"/>
        <w:numPr>
          <w:ilvl w:val="0"/>
          <w:numId w:val="2"/>
        </w:numPr>
        <w:spacing w:line="360" w:lineRule="auto"/>
        <w:ind w:left="714" w:hanging="357"/>
        <w:contextualSpacing/>
        <w:rPr>
          <w:rFonts w:ascii="Arial" w:hAnsi="Arial" w:cs="Arial"/>
          <w:lang w:val="es-ES"/>
        </w:rPr>
      </w:pPr>
      <w:r>
        <w:rPr>
          <w:rFonts w:ascii="Arial" w:hAnsi="Arial" w:cs="Arial"/>
          <w:lang w:val="es-ES"/>
        </w:rPr>
        <w:t>Se adopten</w:t>
      </w:r>
      <w:r w:rsidR="00C9394B" w:rsidRPr="00F111FA">
        <w:rPr>
          <w:rFonts w:ascii="Arial" w:hAnsi="Arial" w:cs="Arial"/>
          <w:lang w:val="es-ES"/>
        </w:rPr>
        <w:t xml:space="preserve"> estándares regionales e internacionales para los honorarios de intérpretes</w:t>
      </w:r>
      <w:r>
        <w:rPr>
          <w:rFonts w:ascii="Arial" w:hAnsi="Arial" w:cs="Arial"/>
          <w:lang w:val="es-ES"/>
        </w:rPr>
        <w:t xml:space="preserve"> para sordociegos</w:t>
      </w:r>
      <w:r w:rsidR="00C9394B" w:rsidRPr="00F111FA">
        <w:rPr>
          <w:rFonts w:ascii="Arial" w:hAnsi="Arial" w:cs="Arial"/>
          <w:lang w:val="es-ES"/>
        </w:rPr>
        <w:t>/guías</w:t>
      </w:r>
      <w:r>
        <w:rPr>
          <w:rFonts w:ascii="Arial" w:hAnsi="Arial" w:cs="Arial"/>
          <w:lang w:val="es-ES"/>
        </w:rPr>
        <w:t xml:space="preserve"> </w:t>
      </w:r>
      <w:r w:rsidR="00C9394B" w:rsidRPr="00F111FA">
        <w:rPr>
          <w:rFonts w:ascii="Arial" w:hAnsi="Arial" w:cs="Arial"/>
          <w:lang w:val="es-ES"/>
        </w:rPr>
        <w:t>intérpretes a fin de prevenir la discriminación y garantizar la accesibilidad en todos los eventos. Si bien el monto específico puede variar según el contexto, el país y el evento, la compensación siempre debe reflejar el nivel de experiencia y apoyo brindado.</w:t>
      </w:r>
      <w:r w:rsidR="009457AC" w:rsidRPr="00F111FA">
        <w:rPr>
          <w:rFonts w:ascii="Arial" w:hAnsi="Arial" w:cs="Arial"/>
          <w:lang w:val="es-ES"/>
        </w:rPr>
        <w:br/>
      </w:r>
    </w:p>
    <w:p w14:paraId="6D236249" w14:textId="796D9EE8" w:rsidR="001B6A60" w:rsidRPr="00F111FA" w:rsidRDefault="00F111FA" w:rsidP="00A00FE1">
      <w:pPr>
        <w:pStyle w:val="NormalWeb"/>
        <w:numPr>
          <w:ilvl w:val="0"/>
          <w:numId w:val="2"/>
        </w:numPr>
        <w:spacing w:line="360" w:lineRule="auto"/>
        <w:ind w:left="714" w:hanging="357"/>
        <w:contextualSpacing/>
        <w:rPr>
          <w:rFonts w:ascii="Arial" w:hAnsi="Arial" w:cs="Arial"/>
          <w:lang w:val="es-ES"/>
        </w:rPr>
      </w:pPr>
      <w:r>
        <w:rPr>
          <w:rFonts w:ascii="Arial" w:hAnsi="Arial" w:cs="Arial"/>
          <w:lang w:val="es-ES"/>
        </w:rPr>
        <w:t>Se inste</w:t>
      </w:r>
      <w:r w:rsidR="009457AC" w:rsidRPr="00F111FA">
        <w:rPr>
          <w:rFonts w:ascii="Arial" w:hAnsi="Arial" w:cs="Arial"/>
          <w:lang w:val="es-ES"/>
        </w:rPr>
        <w:t xml:space="preserve"> a los gobiernos, donantes y otros financiadores a que asuman la responsabilidad de financiar los servicios de interpretación para sordociegos para sus representantes en eventos nacionales e internacionales.</w:t>
      </w:r>
    </w:p>
    <w:p w14:paraId="0BFADC35" w14:textId="77777777" w:rsidR="001B6A60" w:rsidRPr="00F111FA" w:rsidRDefault="001B6A60" w:rsidP="00A00FE1">
      <w:pPr>
        <w:pStyle w:val="NormalWeb"/>
        <w:spacing w:line="360" w:lineRule="auto"/>
        <w:ind w:left="714"/>
        <w:contextualSpacing/>
        <w:rPr>
          <w:rFonts w:ascii="Arial" w:hAnsi="Arial" w:cs="Arial"/>
          <w:lang w:val="es-ES"/>
        </w:rPr>
      </w:pPr>
    </w:p>
    <w:p w14:paraId="4503C958" w14:textId="31A8A265" w:rsidR="001B6A60" w:rsidRDefault="005B79D1" w:rsidP="003C2C04">
      <w:pPr>
        <w:pStyle w:val="NormalWeb"/>
        <w:numPr>
          <w:ilvl w:val="0"/>
          <w:numId w:val="2"/>
        </w:numPr>
        <w:spacing w:line="360" w:lineRule="auto"/>
        <w:ind w:left="714" w:hanging="357"/>
        <w:contextualSpacing/>
        <w:rPr>
          <w:rFonts w:ascii="Arial" w:hAnsi="Arial" w:cs="Arial"/>
          <w:lang w:val="es-ES"/>
        </w:rPr>
      </w:pPr>
      <w:r w:rsidRPr="001E4E2D">
        <w:rPr>
          <w:rFonts w:ascii="Arial" w:hAnsi="Arial" w:cs="Arial"/>
          <w:lang w:val="es-ES"/>
        </w:rPr>
        <w:t xml:space="preserve">Promover y garantizar una educación de alto nivel para </w:t>
      </w:r>
      <w:r w:rsidR="00F111FA" w:rsidRPr="001E4E2D">
        <w:rPr>
          <w:rFonts w:ascii="Arial" w:hAnsi="Arial" w:cs="Arial"/>
          <w:lang w:val="es-ES"/>
        </w:rPr>
        <w:t>intérpretes para sordociegos/guías intérpretes</w:t>
      </w:r>
      <w:r w:rsidRPr="001E4E2D">
        <w:rPr>
          <w:rFonts w:ascii="Arial" w:hAnsi="Arial" w:cs="Arial"/>
          <w:lang w:val="es-ES"/>
        </w:rPr>
        <w:t xml:space="preserve"> de acuerdo con los estándares globales (consulte las pautas de educación para sordociegos de WASLI </w:t>
      </w:r>
      <w:hyperlink r:id="rId9" w:history="1">
        <w:r w:rsidR="001B6A60" w:rsidRPr="001E4E2D">
          <w:rPr>
            <w:rStyle w:val="Hyperlink"/>
            <w:rFonts w:ascii="Arial" w:hAnsi="Arial" w:cs="Arial"/>
            <w:lang w:val="es-ES"/>
          </w:rPr>
          <w:t>https://wasli.org/wp-content/uploads/2022/11/279_wasli-db-interpreter-education-guidelines-1</w:t>
        </w:r>
        <w:r w:rsidR="001B6A60" w:rsidRPr="001E4E2D">
          <w:rPr>
            <w:rStyle w:val="Hyperlink"/>
            <w:rFonts w:ascii="Arial" w:hAnsi="Arial" w:cs="Arial"/>
            <w:lang w:val="es-ES"/>
          </w:rPr>
          <w:t xml:space="preserve">.pdf </w:t>
        </w:r>
      </w:hyperlink>
      <w:r w:rsidR="001B6A60" w:rsidRPr="001E4E2D">
        <w:rPr>
          <w:rFonts w:ascii="Arial" w:hAnsi="Arial" w:cs="Arial"/>
          <w:lang w:val="es-ES"/>
        </w:rPr>
        <w:t xml:space="preserve">), enfatizando las cualidades específicas, las habilidades y el nivel de complejidad laboral en el rol de </w:t>
      </w:r>
      <w:r w:rsidR="001E4E2D" w:rsidRPr="00F111FA">
        <w:rPr>
          <w:rFonts w:ascii="Arial" w:hAnsi="Arial" w:cs="Arial"/>
          <w:lang w:val="es-ES"/>
        </w:rPr>
        <w:t>intérpretes</w:t>
      </w:r>
      <w:r w:rsidR="001E4E2D">
        <w:rPr>
          <w:rFonts w:ascii="Arial" w:hAnsi="Arial" w:cs="Arial"/>
          <w:lang w:val="es-ES"/>
        </w:rPr>
        <w:t xml:space="preserve"> para sordociegos</w:t>
      </w:r>
      <w:r w:rsidR="001E4E2D" w:rsidRPr="00F111FA">
        <w:rPr>
          <w:rFonts w:ascii="Arial" w:hAnsi="Arial" w:cs="Arial"/>
          <w:lang w:val="es-ES"/>
        </w:rPr>
        <w:t>/guías</w:t>
      </w:r>
      <w:r w:rsidR="001E4E2D">
        <w:rPr>
          <w:rFonts w:ascii="Arial" w:hAnsi="Arial" w:cs="Arial"/>
          <w:lang w:val="es-ES"/>
        </w:rPr>
        <w:t xml:space="preserve"> </w:t>
      </w:r>
      <w:r w:rsidR="001E4E2D" w:rsidRPr="00F111FA">
        <w:rPr>
          <w:rFonts w:ascii="Arial" w:hAnsi="Arial" w:cs="Arial"/>
          <w:lang w:val="es-ES"/>
        </w:rPr>
        <w:t>intérpretes</w:t>
      </w:r>
      <w:r w:rsidR="001E4E2D">
        <w:rPr>
          <w:rFonts w:ascii="Arial" w:hAnsi="Arial" w:cs="Arial"/>
          <w:lang w:val="es-ES"/>
        </w:rPr>
        <w:t>.</w:t>
      </w:r>
    </w:p>
    <w:p w14:paraId="7250944A" w14:textId="77777777" w:rsidR="001E4E2D" w:rsidRPr="001E4E2D" w:rsidRDefault="001E4E2D" w:rsidP="001E4E2D">
      <w:pPr>
        <w:pStyle w:val="NormalWeb"/>
        <w:spacing w:line="360" w:lineRule="auto"/>
        <w:contextualSpacing/>
        <w:rPr>
          <w:rFonts w:ascii="Arial" w:hAnsi="Arial" w:cs="Arial"/>
          <w:lang w:val="es-ES"/>
        </w:rPr>
      </w:pPr>
    </w:p>
    <w:p w14:paraId="15EDB1A3" w14:textId="74452D24" w:rsidR="00EC077B" w:rsidRPr="00F111FA" w:rsidRDefault="00C9394B" w:rsidP="00A00FE1">
      <w:pPr>
        <w:pStyle w:val="NormalWeb"/>
        <w:spacing w:line="360" w:lineRule="auto"/>
        <w:rPr>
          <w:rFonts w:ascii="Arial" w:hAnsi="Arial" w:cs="Arial"/>
          <w:lang w:val="es-ES"/>
        </w:rPr>
      </w:pPr>
      <w:r w:rsidRPr="00F111FA">
        <w:rPr>
          <w:rFonts w:ascii="Arial" w:hAnsi="Arial" w:cs="Arial"/>
          <w:lang w:val="es-ES"/>
        </w:rPr>
        <w:lastRenderedPageBreak/>
        <w:t xml:space="preserve">La exclusión de las personas con sordoceguera debido a servicios de interpretación inadecuados es una violación de su derecho a la igualdad de acceso y contradice directamente los principios de la Convención sobre los Derechos de las Personas con Discapacidad (CDPD), en particular el artículo 9, que obliga a los </w:t>
      </w:r>
      <w:r w:rsidR="001E4E2D" w:rsidRPr="00F111FA">
        <w:rPr>
          <w:rFonts w:ascii="Arial" w:hAnsi="Arial" w:cs="Arial"/>
          <w:lang w:val="es-ES"/>
        </w:rPr>
        <w:t>Estados Parte</w:t>
      </w:r>
      <w:r w:rsidRPr="00F111FA">
        <w:rPr>
          <w:rFonts w:ascii="Arial" w:hAnsi="Arial" w:cs="Arial"/>
          <w:lang w:val="es-ES"/>
        </w:rPr>
        <w:t xml:space="preserve"> a adoptar medidas apropiadas para garantizar la accesibilidad a la información, la comunicación y los servicios en igualdad de condiciones con los demás.</w:t>
      </w:r>
    </w:p>
    <w:p w14:paraId="58420555" w14:textId="67879CA8" w:rsidR="00AD0DC5" w:rsidRPr="00F111FA" w:rsidRDefault="00AD0DC5" w:rsidP="00A00FE1">
      <w:pPr>
        <w:pStyle w:val="NormalWeb"/>
        <w:spacing w:line="360" w:lineRule="auto"/>
        <w:rPr>
          <w:rFonts w:ascii="Arial" w:hAnsi="Arial" w:cs="Arial"/>
          <w:lang w:val="es-ES"/>
        </w:rPr>
      </w:pPr>
      <w:r w:rsidRPr="00F111FA">
        <w:rPr>
          <w:rFonts w:ascii="Arial" w:hAnsi="Arial" w:cs="Arial"/>
          <w:lang w:val="es-ES"/>
        </w:rPr>
        <w:t xml:space="preserve">Instamos a todas las partes interesadas a que adopten medidas concretas e inmediatas para poner fin a esta disparidad y defender el derecho a la igualdad de acceso de las personas con sordoceguera, garantizando que nadie </w:t>
      </w:r>
      <w:r w:rsidR="001E4E2D">
        <w:rPr>
          <w:rFonts w:ascii="Arial" w:hAnsi="Arial" w:cs="Arial"/>
          <w:lang w:val="es-ES"/>
        </w:rPr>
        <w:t xml:space="preserve">se </w:t>
      </w:r>
      <w:r w:rsidRPr="00F111FA">
        <w:rPr>
          <w:rFonts w:ascii="Arial" w:hAnsi="Arial" w:cs="Arial"/>
          <w:lang w:val="es-ES"/>
        </w:rPr>
        <w:t>quede atrás.</w:t>
      </w:r>
    </w:p>
    <w:p w14:paraId="601274AB" w14:textId="3DA2267E" w:rsidR="00F4404E" w:rsidRPr="00F111FA" w:rsidRDefault="00F4404E" w:rsidP="00A00FE1">
      <w:pPr>
        <w:pStyle w:val="NormalWeb"/>
        <w:spacing w:line="360" w:lineRule="auto"/>
        <w:rPr>
          <w:rFonts w:ascii="Arial" w:hAnsi="Arial" w:cs="Arial"/>
          <w:lang w:val="es-ES"/>
        </w:rPr>
      </w:pPr>
    </w:p>
    <w:sectPr w:rsidR="00F4404E" w:rsidRPr="00F111FA" w:rsidSect="00A00FE1">
      <w:headerReference w:type="default" r:id="rId10"/>
      <w:footerReference w:type="default" r:id="rId11"/>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D32F" w14:textId="77777777" w:rsidR="006B4BE7" w:rsidRDefault="006B4BE7" w:rsidP="00A00FE1">
      <w:r>
        <w:separator/>
      </w:r>
    </w:p>
  </w:endnote>
  <w:endnote w:type="continuationSeparator" w:id="0">
    <w:p w14:paraId="191C8C1A" w14:textId="77777777" w:rsidR="006B4BE7" w:rsidRDefault="006B4BE7" w:rsidP="00A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561838"/>
      <w:docPartObj>
        <w:docPartGallery w:val="Page Numbers (Bottom of Page)"/>
        <w:docPartUnique/>
      </w:docPartObj>
    </w:sdtPr>
    <w:sdtEndPr>
      <w:rPr>
        <w:noProof/>
      </w:rPr>
    </w:sdtEndPr>
    <w:sdtContent>
      <w:p w14:paraId="7EEC6873" w14:textId="64481911" w:rsidR="00A00FE1" w:rsidRDefault="00A00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D955F" w14:textId="77777777" w:rsidR="00A00FE1" w:rsidRDefault="00A0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12A8F" w14:textId="77777777" w:rsidR="006B4BE7" w:rsidRDefault="006B4BE7" w:rsidP="00A00FE1">
      <w:r>
        <w:separator/>
      </w:r>
    </w:p>
  </w:footnote>
  <w:footnote w:type="continuationSeparator" w:id="0">
    <w:p w14:paraId="520A7670" w14:textId="77777777" w:rsidR="006B4BE7" w:rsidRDefault="006B4BE7" w:rsidP="00A0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FA43" w14:textId="77777777" w:rsidR="00A00FE1" w:rsidRPr="00F111FA" w:rsidRDefault="00A00FE1" w:rsidP="00A00FE1">
    <w:pPr>
      <w:rPr>
        <w:rFonts w:ascii="Arial" w:hAnsi="Arial" w:cs="Arial"/>
        <w:b/>
        <w:bCs/>
        <w:color w:val="767171" w:themeColor="background2" w:themeShade="80"/>
        <w:sz w:val="20"/>
        <w:szCs w:val="20"/>
        <w:lang w:val="es-ES"/>
      </w:rPr>
    </w:pPr>
    <w:r w:rsidRPr="00F111FA">
      <w:rPr>
        <w:rFonts w:ascii="Arial" w:hAnsi="Arial" w:cs="Arial"/>
        <w:b/>
        <w:bCs/>
        <w:color w:val="767171" w:themeColor="background2" w:themeShade="80"/>
        <w:sz w:val="20"/>
        <w:szCs w:val="20"/>
        <w:lang w:val="es-ES"/>
      </w:rPr>
      <w:t>Federación Mundial de Sordociegos (WFDB) - Mayo de 2025</w:t>
    </w:r>
  </w:p>
  <w:p w14:paraId="048B15AC" w14:textId="57CC97AF" w:rsidR="00A00FE1" w:rsidRPr="00F111FA" w:rsidRDefault="00A00FE1" w:rsidP="00A00FE1">
    <w:pPr>
      <w:rPr>
        <w:rStyle w:val="Heading1Char"/>
        <w:rFonts w:ascii="Arial" w:eastAsiaTheme="minorHAnsi" w:hAnsi="Arial" w:cs="Arial"/>
        <w:b/>
        <w:bCs/>
        <w:color w:val="767171" w:themeColor="background2" w:themeShade="80"/>
        <w:sz w:val="20"/>
        <w:szCs w:val="20"/>
        <w:lang w:val="es-ES"/>
      </w:rPr>
    </w:pPr>
    <w:r w:rsidRPr="00A00FE1">
      <w:rPr>
        <w:rStyle w:val="Heading1Char"/>
        <w:rFonts w:ascii="Arial" w:hAnsi="Arial" w:cs="Arial"/>
        <w:b/>
        <w:bCs/>
        <w:color w:val="767171" w:themeColor="background2" w:themeShade="80"/>
        <w:sz w:val="20"/>
        <w:szCs w:val="20"/>
      </w:rPr>
      <w:t>Declaración pública sobre las tarifas de interpretación para personas sordociegas y guías intérpretes</w:t>
    </w:r>
  </w:p>
  <w:p w14:paraId="3CB691A5" w14:textId="77777777" w:rsidR="00A00FE1" w:rsidRPr="00F111FA" w:rsidRDefault="00A00FE1" w:rsidP="00A00FE1">
    <w:pPr>
      <w:pStyle w:val="Header"/>
      <w:jc w:val="both"/>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A761A"/>
    <w:multiLevelType w:val="hybridMultilevel"/>
    <w:tmpl w:val="06C64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618F5"/>
    <w:multiLevelType w:val="multilevel"/>
    <w:tmpl w:val="2E90A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6FD01CD"/>
    <w:multiLevelType w:val="multilevel"/>
    <w:tmpl w:val="A54029C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552848">
    <w:abstractNumId w:val="1"/>
  </w:num>
  <w:num w:numId="2" w16cid:durableId="392583260">
    <w:abstractNumId w:val="2"/>
  </w:num>
  <w:num w:numId="3" w16cid:durableId="139855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4E"/>
    <w:rsid w:val="0000307B"/>
    <w:rsid w:val="000A4BD1"/>
    <w:rsid w:val="000D33B7"/>
    <w:rsid w:val="00175501"/>
    <w:rsid w:val="001908BA"/>
    <w:rsid w:val="001A0A4D"/>
    <w:rsid w:val="001B6A60"/>
    <w:rsid w:val="001E4E2D"/>
    <w:rsid w:val="001F19FE"/>
    <w:rsid w:val="00201962"/>
    <w:rsid w:val="00222127"/>
    <w:rsid w:val="00314C7B"/>
    <w:rsid w:val="003605DE"/>
    <w:rsid w:val="003870E9"/>
    <w:rsid w:val="00395F02"/>
    <w:rsid w:val="003B2F76"/>
    <w:rsid w:val="00444352"/>
    <w:rsid w:val="00447369"/>
    <w:rsid w:val="0045693D"/>
    <w:rsid w:val="005448D5"/>
    <w:rsid w:val="00563627"/>
    <w:rsid w:val="005A1774"/>
    <w:rsid w:val="005B79D1"/>
    <w:rsid w:val="005E27A7"/>
    <w:rsid w:val="00607C62"/>
    <w:rsid w:val="00641626"/>
    <w:rsid w:val="006B4BE7"/>
    <w:rsid w:val="006D0680"/>
    <w:rsid w:val="007360C1"/>
    <w:rsid w:val="007E451C"/>
    <w:rsid w:val="00815960"/>
    <w:rsid w:val="00845B6D"/>
    <w:rsid w:val="008525DF"/>
    <w:rsid w:val="00861DA4"/>
    <w:rsid w:val="00890844"/>
    <w:rsid w:val="008B66AA"/>
    <w:rsid w:val="008F449A"/>
    <w:rsid w:val="0093546D"/>
    <w:rsid w:val="009457AC"/>
    <w:rsid w:val="009A226F"/>
    <w:rsid w:val="009B298C"/>
    <w:rsid w:val="009F2265"/>
    <w:rsid w:val="009F228C"/>
    <w:rsid w:val="00A00FE1"/>
    <w:rsid w:val="00A0134A"/>
    <w:rsid w:val="00A11FE4"/>
    <w:rsid w:val="00A75C6D"/>
    <w:rsid w:val="00A858EC"/>
    <w:rsid w:val="00AA4814"/>
    <w:rsid w:val="00AD0DC5"/>
    <w:rsid w:val="00B46470"/>
    <w:rsid w:val="00B91F45"/>
    <w:rsid w:val="00BA3573"/>
    <w:rsid w:val="00C7453C"/>
    <w:rsid w:val="00C9394B"/>
    <w:rsid w:val="00D23524"/>
    <w:rsid w:val="00D241FF"/>
    <w:rsid w:val="00D44D8C"/>
    <w:rsid w:val="00DE503C"/>
    <w:rsid w:val="00E87C81"/>
    <w:rsid w:val="00EC077B"/>
    <w:rsid w:val="00F00E26"/>
    <w:rsid w:val="00F111FA"/>
    <w:rsid w:val="00F135F0"/>
    <w:rsid w:val="00F4404E"/>
    <w:rsid w:val="00F85EB2"/>
    <w:rsid w:val="00F8655A"/>
    <w:rsid w:val="00F87B1C"/>
    <w:rsid w:val="00FC1B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2169"/>
  <w15:chartTrackingRefBased/>
  <w15:docId w15:val="{17D729E3-9B02-4A48-A74E-91963140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7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7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04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457A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457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B6A60"/>
    <w:rPr>
      <w:color w:val="0563C1" w:themeColor="hyperlink"/>
      <w:u w:val="single"/>
    </w:rPr>
  </w:style>
  <w:style w:type="character" w:styleId="UnresolvedMention">
    <w:name w:val="Unresolved Mention"/>
    <w:basedOn w:val="DefaultParagraphFont"/>
    <w:uiPriority w:val="99"/>
    <w:semiHidden/>
    <w:unhideWhenUsed/>
    <w:rsid w:val="001B6A60"/>
    <w:rPr>
      <w:color w:val="605E5C"/>
      <w:shd w:val="clear" w:color="auto" w:fill="E1DFDD"/>
    </w:rPr>
  </w:style>
  <w:style w:type="paragraph" w:styleId="Header">
    <w:name w:val="header"/>
    <w:basedOn w:val="Normal"/>
    <w:link w:val="HeaderChar"/>
    <w:uiPriority w:val="99"/>
    <w:unhideWhenUsed/>
    <w:rsid w:val="00A00FE1"/>
    <w:pPr>
      <w:tabs>
        <w:tab w:val="center" w:pos="4252"/>
        <w:tab w:val="right" w:pos="8504"/>
      </w:tabs>
    </w:pPr>
  </w:style>
  <w:style w:type="character" w:customStyle="1" w:styleId="HeaderChar">
    <w:name w:val="Header Char"/>
    <w:basedOn w:val="DefaultParagraphFont"/>
    <w:link w:val="Header"/>
    <w:uiPriority w:val="99"/>
    <w:rsid w:val="00A00FE1"/>
  </w:style>
  <w:style w:type="paragraph" w:styleId="Footer">
    <w:name w:val="footer"/>
    <w:basedOn w:val="Normal"/>
    <w:link w:val="FooterChar"/>
    <w:uiPriority w:val="99"/>
    <w:unhideWhenUsed/>
    <w:rsid w:val="00A00FE1"/>
    <w:pPr>
      <w:tabs>
        <w:tab w:val="center" w:pos="4252"/>
        <w:tab w:val="right" w:pos="8504"/>
      </w:tabs>
    </w:pPr>
  </w:style>
  <w:style w:type="character" w:customStyle="1" w:styleId="FooterChar">
    <w:name w:val="Footer Char"/>
    <w:basedOn w:val="DefaultParagraphFont"/>
    <w:link w:val="Footer"/>
    <w:uiPriority w:val="99"/>
    <w:rsid w:val="00A00FE1"/>
  </w:style>
  <w:style w:type="character" w:styleId="FollowedHyperlink">
    <w:name w:val="FollowedHyperlink"/>
    <w:basedOn w:val="DefaultParagraphFont"/>
    <w:uiPriority w:val="99"/>
    <w:semiHidden/>
    <w:unhideWhenUsed/>
    <w:rsid w:val="00F111FA"/>
    <w:rPr>
      <w:color w:val="954F72" w:themeColor="followedHyperlink"/>
      <w:u w:val="single"/>
    </w:rPr>
  </w:style>
  <w:style w:type="paragraph" w:styleId="ListParagraph">
    <w:name w:val="List Paragraph"/>
    <w:basedOn w:val="Normal"/>
    <w:uiPriority w:val="34"/>
    <w:qFormat/>
    <w:rsid w:val="001E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807">
      <w:bodyDiv w:val="1"/>
      <w:marLeft w:val="0"/>
      <w:marRight w:val="0"/>
      <w:marTop w:val="0"/>
      <w:marBottom w:val="0"/>
      <w:divBdr>
        <w:top w:val="none" w:sz="0" w:space="0" w:color="auto"/>
        <w:left w:val="none" w:sz="0" w:space="0" w:color="auto"/>
        <w:bottom w:val="none" w:sz="0" w:space="0" w:color="auto"/>
        <w:right w:val="none" w:sz="0" w:space="0" w:color="auto"/>
      </w:divBdr>
    </w:div>
    <w:div w:id="87504270">
      <w:bodyDiv w:val="1"/>
      <w:marLeft w:val="0"/>
      <w:marRight w:val="0"/>
      <w:marTop w:val="0"/>
      <w:marBottom w:val="0"/>
      <w:divBdr>
        <w:top w:val="none" w:sz="0" w:space="0" w:color="auto"/>
        <w:left w:val="none" w:sz="0" w:space="0" w:color="auto"/>
        <w:bottom w:val="none" w:sz="0" w:space="0" w:color="auto"/>
        <w:right w:val="none" w:sz="0" w:space="0" w:color="auto"/>
      </w:divBdr>
    </w:div>
    <w:div w:id="128986209">
      <w:bodyDiv w:val="1"/>
      <w:marLeft w:val="0"/>
      <w:marRight w:val="0"/>
      <w:marTop w:val="0"/>
      <w:marBottom w:val="0"/>
      <w:divBdr>
        <w:top w:val="none" w:sz="0" w:space="0" w:color="auto"/>
        <w:left w:val="none" w:sz="0" w:space="0" w:color="auto"/>
        <w:bottom w:val="none" w:sz="0" w:space="0" w:color="auto"/>
        <w:right w:val="none" w:sz="0" w:space="0" w:color="auto"/>
      </w:divBdr>
    </w:div>
    <w:div w:id="352076932">
      <w:bodyDiv w:val="1"/>
      <w:marLeft w:val="0"/>
      <w:marRight w:val="0"/>
      <w:marTop w:val="0"/>
      <w:marBottom w:val="0"/>
      <w:divBdr>
        <w:top w:val="none" w:sz="0" w:space="0" w:color="auto"/>
        <w:left w:val="none" w:sz="0" w:space="0" w:color="auto"/>
        <w:bottom w:val="none" w:sz="0" w:space="0" w:color="auto"/>
        <w:right w:val="none" w:sz="0" w:space="0" w:color="auto"/>
      </w:divBdr>
    </w:div>
    <w:div w:id="432628105">
      <w:bodyDiv w:val="1"/>
      <w:marLeft w:val="0"/>
      <w:marRight w:val="0"/>
      <w:marTop w:val="0"/>
      <w:marBottom w:val="0"/>
      <w:divBdr>
        <w:top w:val="none" w:sz="0" w:space="0" w:color="auto"/>
        <w:left w:val="none" w:sz="0" w:space="0" w:color="auto"/>
        <w:bottom w:val="none" w:sz="0" w:space="0" w:color="auto"/>
        <w:right w:val="none" w:sz="0" w:space="0" w:color="auto"/>
      </w:divBdr>
    </w:div>
    <w:div w:id="867648144">
      <w:bodyDiv w:val="1"/>
      <w:marLeft w:val="0"/>
      <w:marRight w:val="0"/>
      <w:marTop w:val="0"/>
      <w:marBottom w:val="0"/>
      <w:divBdr>
        <w:top w:val="none" w:sz="0" w:space="0" w:color="auto"/>
        <w:left w:val="none" w:sz="0" w:space="0" w:color="auto"/>
        <w:bottom w:val="none" w:sz="0" w:space="0" w:color="auto"/>
        <w:right w:val="none" w:sz="0" w:space="0" w:color="auto"/>
      </w:divBdr>
      <w:divsChild>
        <w:div w:id="407924696">
          <w:marLeft w:val="0"/>
          <w:marRight w:val="0"/>
          <w:marTop w:val="240"/>
          <w:marBottom w:val="240"/>
          <w:divBdr>
            <w:top w:val="none" w:sz="0" w:space="0" w:color="auto"/>
            <w:left w:val="none" w:sz="0" w:space="0" w:color="auto"/>
            <w:bottom w:val="none" w:sz="0" w:space="0" w:color="auto"/>
            <w:right w:val="none" w:sz="0" w:space="0" w:color="auto"/>
          </w:divBdr>
        </w:div>
        <w:div w:id="1574074597">
          <w:marLeft w:val="0"/>
          <w:marRight w:val="0"/>
          <w:marTop w:val="240"/>
          <w:marBottom w:val="240"/>
          <w:divBdr>
            <w:top w:val="none" w:sz="0" w:space="0" w:color="auto"/>
            <w:left w:val="none" w:sz="0" w:space="0" w:color="auto"/>
            <w:bottom w:val="none" w:sz="0" w:space="0" w:color="auto"/>
            <w:right w:val="none" w:sz="0" w:space="0" w:color="auto"/>
          </w:divBdr>
        </w:div>
        <w:div w:id="365763761">
          <w:marLeft w:val="0"/>
          <w:marRight w:val="0"/>
          <w:marTop w:val="240"/>
          <w:marBottom w:val="240"/>
          <w:divBdr>
            <w:top w:val="none" w:sz="0" w:space="0" w:color="auto"/>
            <w:left w:val="none" w:sz="0" w:space="0" w:color="auto"/>
            <w:bottom w:val="none" w:sz="0" w:space="0" w:color="auto"/>
            <w:right w:val="none" w:sz="0" w:space="0" w:color="auto"/>
          </w:divBdr>
        </w:div>
      </w:divsChild>
    </w:div>
    <w:div w:id="1179924040">
      <w:bodyDiv w:val="1"/>
      <w:marLeft w:val="0"/>
      <w:marRight w:val="0"/>
      <w:marTop w:val="0"/>
      <w:marBottom w:val="0"/>
      <w:divBdr>
        <w:top w:val="none" w:sz="0" w:space="0" w:color="auto"/>
        <w:left w:val="none" w:sz="0" w:space="0" w:color="auto"/>
        <w:bottom w:val="none" w:sz="0" w:space="0" w:color="auto"/>
        <w:right w:val="none" w:sz="0" w:space="0" w:color="auto"/>
      </w:divBdr>
    </w:div>
    <w:div w:id="1644584212">
      <w:bodyDiv w:val="1"/>
      <w:marLeft w:val="0"/>
      <w:marRight w:val="0"/>
      <w:marTop w:val="0"/>
      <w:marBottom w:val="0"/>
      <w:divBdr>
        <w:top w:val="none" w:sz="0" w:space="0" w:color="auto"/>
        <w:left w:val="none" w:sz="0" w:space="0" w:color="auto"/>
        <w:bottom w:val="none" w:sz="0" w:space="0" w:color="auto"/>
        <w:right w:val="none" w:sz="0" w:space="0" w:color="auto"/>
      </w:divBdr>
    </w:div>
    <w:div w:id="1888907847">
      <w:bodyDiv w:val="1"/>
      <w:marLeft w:val="0"/>
      <w:marRight w:val="0"/>
      <w:marTop w:val="0"/>
      <w:marBottom w:val="0"/>
      <w:divBdr>
        <w:top w:val="none" w:sz="0" w:space="0" w:color="auto"/>
        <w:left w:val="none" w:sz="0" w:space="0" w:color="auto"/>
        <w:bottom w:val="none" w:sz="0" w:space="0" w:color="auto"/>
        <w:right w:val="none" w:sz="0" w:space="0" w:color="auto"/>
      </w:divBdr>
    </w:div>
    <w:div w:id="1904022452">
      <w:bodyDiv w:val="1"/>
      <w:marLeft w:val="0"/>
      <w:marRight w:val="0"/>
      <w:marTop w:val="0"/>
      <w:marBottom w:val="0"/>
      <w:divBdr>
        <w:top w:val="none" w:sz="0" w:space="0" w:color="auto"/>
        <w:left w:val="none" w:sz="0" w:space="0" w:color="auto"/>
        <w:bottom w:val="none" w:sz="0" w:space="0" w:color="auto"/>
        <w:right w:val="none" w:sz="0" w:space="0" w:color="auto"/>
      </w:divBdr>
    </w:div>
    <w:div w:id="1913814179">
      <w:bodyDiv w:val="1"/>
      <w:marLeft w:val="0"/>
      <w:marRight w:val="0"/>
      <w:marTop w:val="0"/>
      <w:marBottom w:val="0"/>
      <w:divBdr>
        <w:top w:val="none" w:sz="0" w:space="0" w:color="auto"/>
        <w:left w:val="none" w:sz="0" w:space="0" w:color="auto"/>
        <w:bottom w:val="none" w:sz="0" w:space="0" w:color="auto"/>
        <w:right w:val="none" w:sz="0" w:space="0" w:color="auto"/>
      </w:divBdr>
    </w:div>
    <w:div w:id="1993557001">
      <w:bodyDiv w:val="1"/>
      <w:marLeft w:val="0"/>
      <w:marRight w:val="0"/>
      <w:marTop w:val="0"/>
      <w:marBottom w:val="0"/>
      <w:divBdr>
        <w:top w:val="none" w:sz="0" w:space="0" w:color="auto"/>
        <w:left w:val="none" w:sz="0" w:space="0" w:color="auto"/>
        <w:bottom w:val="none" w:sz="0" w:space="0" w:color="auto"/>
        <w:right w:val="none" w:sz="0" w:space="0" w:color="auto"/>
      </w:divBdr>
      <w:divsChild>
        <w:div w:id="290551224">
          <w:marLeft w:val="0"/>
          <w:marRight w:val="0"/>
          <w:marTop w:val="0"/>
          <w:marBottom w:val="0"/>
          <w:divBdr>
            <w:top w:val="none" w:sz="0" w:space="0" w:color="auto"/>
            <w:left w:val="none" w:sz="0" w:space="0" w:color="auto"/>
            <w:bottom w:val="none" w:sz="0" w:space="0" w:color="auto"/>
            <w:right w:val="none" w:sz="0" w:space="0" w:color="auto"/>
          </w:divBdr>
        </w:div>
        <w:div w:id="1200317327">
          <w:marLeft w:val="0"/>
          <w:marRight w:val="0"/>
          <w:marTop w:val="0"/>
          <w:marBottom w:val="0"/>
          <w:divBdr>
            <w:top w:val="none" w:sz="0" w:space="0" w:color="auto"/>
            <w:left w:val="none" w:sz="0" w:space="0" w:color="auto"/>
            <w:bottom w:val="none" w:sz="0" w:space="0" w:color="auto"/>
            <w:right w:val="none" w:sz="0" w:space="0" w:color="auto"/>
          </w:divBdr>
        </w:div>
        <w:div w:id="2139445465">
          <w:marLeft w:val="0"/>
          <w:marRight w:val="0"/>
          <w:marTop w:val="0"/>
          <w:marBottom w:val="0"/>
          <w:divBdr>
            <w:top w:val="none" w:sz="0" w:space="0" w:color="auto"/>
            <w:left w:val="none" w:sz="0" w:space="0" w:color="auto"/>
            <w:bottom w:val="none" w:sz="0" w:space="0" w:color="auto"/>
            <w:right w:val="none" w:sz="0" w:space="0" w:color="auto"/>
          </w:divBdr>
        </w:div>
        <w:div w:id="583492286">
          <w:marLeft w:val="0"/>
          <w:marRight w:val="0"/>
          <w:marTop w:val="0"/>
          <w:marBottom w:val="0"/>
          <w:divBdr>
            <w:top w:val="none" w:sz="0" w:space="0" w:color="auto"/>
            <w:left w:val="none" w:sz="0" w:space="0" w:color="auto"/>
            <w:bottom w:val="none" w:sz="0" w:space="0" w:color="auto"/>
            <w:right w:val="none" w:sz="0" w:space="0" w:color="auto"/>
          </w:divBdr>
        </w:div>
        <w:div w:id="1145704552">
          <w:marLeft w:val="0"/>
          <w:marRight w:val="0"/>
          <w:marTop w:val="0"/>
          <w:marBottom w:val="0"/>
          <w:divBdr>
            <w:top w:val="none" w:sz="0" w:space="0" w:color="auto"/>
            <w:left w:val="none" w:sz="0" w:space="0" w:color="auto"/>
            <w:bottom w:val="none" w:sz="0" w:space="0" w:color="auto"/>
            <w:right w:val="none" w:sz="0" w:space="0" w:color="auto"/>
          </w:divBdr>
        </w:div>
        <w:div w:id="1978996075">
          <w:marLeft w:val="0"/>
          <w:marRight w:val="0"/>
          <w:marTop w:val="0"/>
          <w:marBottom w:val="0"/>
          <w:divBdr>
            <w:top w:val="none" w:sz="0" w:space="0" w:color="auto"/>
            <w:left w:val="none" w:sz="0" w:space="0" w:color="auto"/>
            <w:bottom w:val="none" w:sz="0" w:space="0" w:color="auto"/>
            <w:right w:val="none" w:sz="0" w:space="0" w:color="auto"/>
          </w:divBdr>
        </w:div>
        <w:div w:id="704601507">
          <w:marLeft w:val="0"/>
          <w:marRight w:val="0"/>
          <w:marTop w:val="0"/>
          <w:marBottom w:val="0"/>
          <w:divBdr>
            <w:top w:val="none" w:sz="0" w:space="0" w:color="auto"/>
            <w:left w:val="none" w:sz="0" w:space="0" w:color="auto"/>
            <w:bottom w:val="none" w:sz="0" w:space="0" w:color="auto"/>
            <w:right w:val="none" w:sz="0" w:space="0" w:color="auto"/>
          </w:divBdr>
        </w:div>
        <w:div w:id="1457483195">
          <w:marLeft w:val="0"/>
          <w:marRight w:val="0"/>
          <w:marTop w:val="0"/>
          <w:marBottom w:val="0"/>
          <w:divBdr>
            <w:top w:val="none" w:sz="0" w:space="0" w:color="auto"/>
            <w:left w:val="none" w:sz="0" w:space="0" w:color="auto"/>
            <w:bottom w:val="none" w:sz="0" w:space="0" w:color="auto"/>
            <w:right w:val="none" w:sz="0" w:space="0" w:color="auto"/>
          </w:divBdr>
        </w:div>
        <w:div w:id="1413510198">
          <w:marLeft w:val="0"/>
          <w:marRight w:val="0"/>
          <w:marTop w:val="0"/>
          <w:marBottom w:val="0"/>
          <w:divBdr>
            <w:top w:val="none" w:sz="0" w:space="0" w:color="auto"/>
            <w:left w:val="none" w:sz="0" w:space="0" w:color="auto"/>
            <w:bottom w:val="none" w:sz="0" w:space="0" w:color="auto"/>
            <w:right w:val="none" w:sz="0" w:space="0" w:color="auto"/>
          </w:divBdr>
        </w:div>
        <w:div w:id="1927180738">
          <w:marLeft w:val="0"/>
          <w:marRight w:val="0"/>
          <w:marTop w:val="0"/>
          <w:marBottom w:val="0"/>
          <w:divBdr>
            <w:top w:val="none" w:sz="0" w:space="0" w:color="auto"/>
            <w:left w:val="none" w:sz="0" w:space="0" w:color="auto"/>
            <w:bottom w:val="none" w:sz="0" w:space="0" w:color="auto"/>
            <w:right w:val="none" w:sz="0" w:space="0" w:color="auto"/>
          </w:divBdr>
        </w:div>
        <w:div w:id="1288199710">
          <w:marLeft w:val="0"/>
          <w:marRight w:val="0"/>
          <w:marTop w:val="0"/>
          <w:marBottom w:val="0"/>
          <w:divBdr>
            <w:top w:val="none" w:sz="0" w:space="0" w:color="auto"/>
            <w:left w:val="none" w:sz="0" w:space="0" w:color="auto"/>
            <w:bottom w:val="none" w:sz="0" w:space="0" w:color="auto"/>
            <w:right w:val="none" w:sz="0" w:space="0" w:color="auto"/>
          </w:divBdr>
        </w:div>
        <w:div w:id="1040084295">
          <w:marLeft w:val="0"/>
          <w:marRight w:val="0"/>
          <w:marTop w:val="0"/>
          <w:marBottom w:val="0"/>
          <w:divBdr>
            <w:top w:val="none" w:sz="0" w:space="0" w:color="auto"/>
            <w:left w:val="none" w:sz="0" w:space="0" w:color="auto"/>
            <w:bottom w:val="none" w:sz="0" w:space="0" w:color="auto"/>
            <w:right w:val="none" w:sz="0" w:space="0" w:color="auto"/>
          </w:divBdr>
        </w:div>
        <w:div w:id="1691762417">
          <w:marLeft w:val="0"/>
          <w:marRight w:val="0"/>
          <w:marTop w:val="0"/>
          <w:marBottom w:val="0"/>
          <w:divBdr>
            <w:top w:val="none" w:sz="0" w:space="0" w:color="auto"/>
            <w:left w:val="none" w:sz="0" w:space="0" w:color="auto"/>
            <w:bottom w:val="none" w:sz="0" w:space="0" w:color="auto"/>
            <w:right w:val="none" w:sz="0" w:space="0" w:color="auto"/>
          </w:divBdr>
        </w:div>
        <w:div w:id="1070423004">
          <w:marLeft w:val="0"/>
          <w:marRight w:val="0"/>
          <w:marTop w:val="0"/>
          <w:marBottom w:val="0"/>
          <w:divBdr>
            <w:top w:val="none" w:sz="0" w:space="0" w:color="auto"/>
            <w:left w:val="none" w:sz="0" w:space="0" w:color="auto"/>
            <w:bottom w:val="none" w:sz="0" w:space="0" w:color="auto"/>
            <w:right w:val="none" w:sz="0" w:space="0" w:color="auto"/>
          </w:divBdr>
        </w:div>
        <w:div w:id="1005939819">
          <w:marLeft w:val="0"/>
          <w:marRight w:val="0"/>
          <w:marTop w:val="0"/>
          <w:marBottom w:val="0"/>
          <w:divBdr>
            <w:top w:val="none" w:sz="0" w:space="0" w:color="auto"/>
            <w:left w:val="none" w:sz="0" w:space="0" w:color="auto"/>
            <w:bottom w:val="none" w:sz="0" w:space="0" w:color="auto"/>
            <w:right w:val="none" w:sz="0" w:space="0" w:color="auto"/>
          </w:divBdr>
        </w:div>
        <w:div w:id="207003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sli.org/wp-content/uploads/2022/11/279_wasli-db-interpreter-education-guideline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58FF-23C9-4270-A05F-6725673E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Lucia D'Arino</cp:lastModifiedBy>
  <cp:revision>7</cp:revision>
  <dcterms:created xsi:type="dcterms:W3CDTF">2025-04-17T10:27:00Z</dcterms:created>
  <dcterms:modified xsi:type="dcterms:W3CDTF">2025-05-29T10:03:00Z</dcterms:modified>
</cp:coreProperties>
</file>