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DF790" w14:textId="04F3254E" w:rsidR="007B5661" w:rsidRPr="007905BD" w:rsidRDefault="00A309D0" w:rsidP="002C4312">
      <w:pPr>
        <w:pStyle w:val="Ttulo1"/>
        <w:jc w:val="center"/>
        <w:rPr>
          <w:rFonts w:ascii="Arial" w:hAnsi="Arial" w:cs="Arial"/>
          <w:lang w:val="en-GB"/>
        </w:rPr>
      </w:pPr>
      <w:r w:rsidRPr="007905BD">
        <w:rPr>
          <w:rFonts w:ascii="Arial" w:hAnsi="Arial" w:cs="Arial"/>
          <w:lang w:val="en-GB"/>
        </w:rPr>
        <w:t xml:space="preserve">Concept Note </w:t>
      </w:r>
    </w:p>
    <w:p w14:paraId="101B1E0E" w14:textId="53CAD5E7" w:rsidR="00FD153C" w:rsidRPr="007905BD" w:rsidRDefault="00FD153C" w:rsidP="00FD153C">
      <w:pPr>
        <w:pStyle w:val="Ttulo2"/>
        <w:jc w:val="center"/>
        <w:rPr>
          <w:rFonts w:ascii="Arial" w:hAnsi="Arial" w:cs="Arial"/>
          <w:b/>
          <w:bCs/>
          <w:sz w:val="32"/>
          <w:szCs w:val="32"/>
          <w:lang w:val="en-GB"/>
        </w:rPr>
      </w:pPr>
      <w:r w:rsidRPr="007905BD">
        <w:rPr>
          <w:rFonts w:ascii="Arial" w:hAnsi="Arial" w:cs="Arial"/>
          <w:b/>
          <w:bCs/>
          <w:sz w:val="32"/>
          <w:szCs w:val="32"/>
          <w:lang w:val="en-GB"/>
        </w:rPr>
        <w:t>“Presenting WFDB’s 2nd Global Report: Good Practices and Recommendations for the Inclusion of Persons with Deafblindness”</w:t>
      </w:r>
    </w:p>
    <w:p w14:paraId="2A9B139B" w14:textId="1396DBA1" w:rsidR="007951F9" w:rsidRPr="007951F9" w:rsidRDefault="007905BD" w:rsidP="007951F9">
      <w:pPr>
        <w:pStyle w:val="Ttulo2"/>
        <w:jc w:val="center"/>
        <w:rPr>
          <w:rFonts w:ascii="Arial" w:hAnsi="Arial" w:cs="Arial"/>
          <w:lang w:val="en-GB"/>
        </w:rPr>
      </w:pPr>
      <w:r w:rsidRPr="007905BD">
        <w:rPr>
          <w:rFonts w:ascii="Arial" w:hAnsi="Arial" w:cs="Arial"/>
          <w:lang w:val="en-GB"/>
        </w:rPr>
        <w:t>Side Event</w:t>
      </w:r>
      <w:r>
        <w:rPr>
          <w:rFonts w:ascii="Arial" w:hAnsi="Arial" w:cs="Arial"/>
          <w:lang w:val="en-GB"/>
        </w:rPr>
        <w:t xml:space="preserve"> </w:t>
      </w:r>
      <w:r w:rsidR="008D41DE">
        <w:rPr>
          <w:rFonts w:ascii="Arial" w:hAnsi="Arial" w:cs="Arial"/>
          <w:lang w:val="en-GB"/>
        </w:rPr>
        <w:t>–</w:t>
      </w:r>
      <w:r>
        <w:rPr>
          <w:rFonts w:ascii="Arial" w:hAnsi="Arial" w:cs="Arial"/>
          <w:lang w:val="en-GB"/>
        </w:rPr>
        <w:t xml:space="preserve"> </w:t>
      </w:r>
      <w:r w:rsidR="00FD153C" w:rsidRPr="007905BD">
        <w:rPr>
          <w:rFonts w:ascii="Arial" w:hAnsi="Arial" w:cs="Arial"/>
          <w:lang w:val="en-GB"/>
        </w:rPr>
        <w:t>CoSP</w:t>
      </w:r>
      <w:r w:rsidR="008D41DE">
        <w:rPr>
          <w:rFonts w:ascii="Arial" w:hAnsi="Arial" w:cs="Arial"/>
          <w:lang w:val="en-GB"/>
        </w:rPr>
        <w:t>16</w:t>
      </w:r>
      <w:r w:rsidR="007951F9">
        <w:rPr>
          <w:rFonts w:ascii="Arial" w:hAnsi="Arial" w:cs="Arial"/>
          <w:lang w:val="en-GB"/>
        </w:rPr>
        <w:br/>
        <w:t>April 2023</w:t>
      </w:r>
    </w:p>
    <w:p w14:paraId="16D638FD" w14:textId="77777777" w:rsidR="00A309D0" w:rsidRPr="007905BD" w:rsidRDefault="00A309D0" w:rsidP="00A309D0">
      <w:pPr>
        <w:pStyle w:val="Default"/>
        <w:rPr>
          <w:rFonts w:ascii="Arial" w:hAnsi="Arial" w:cs="Arial"/>
          <w:lang w:val="en-GB"/>
        </w:rPr>
      </w:pPr>
    </w:p>
    <w:p w14:paraId="494B79C2" w14:textId="000797CB" w:rsidR="005363A8" w:rsidRPr="007905BD" w:rsidRDefault="00E36BF7" w:rsidP="007A7E89">
      <w:pPr>
        <w:pStyle w:val="Ttulo2"/>
        <w:rPr>
          <w:rFonts w:ascii="Arial" w:hAnsi="Arial" w:cs="Arial"/>
          <w:b/>
          <w:bCs/>
          <w:lang w:val="en-GB"/>
        </w:rPr>
      </w:pPr>
      <w:r w:rsidRPr="007905BD">
        <w:rPr>
          <w:rFonts w:ascii="Arial" w:hAnsi="Arial" w:cs="Arial"/>
          <w:b/>
          <w:bCs/>
          <w:lang w:val="en-GB"/>
        </w:rPr>
        <w:t>Background</w:t>
      </w:r>
    </w:p>
    <w:p w14:paraId="529E5552" w14:textId="1E91615F" w:rsidR="00FD153C" w:rsidRPr="007905BD" w:rsidRDefault="00000000" w:rsidP="00FD153C">
      <w:pPr>
        <w:pStyle w:val="Default"/>
        <w:jc w:val="both"/>
        <w:rPr>
          <w:rFonts w:ascii="Arial" w:hAnsi="Arial" w:cs="Arial"/>
          <w:lang w:val="en-GB"/>
        </w:rPr>
      </w:pPr>
      <w:hyperlink r:id="rId10" w:history="1">
        <w:r w:rsidR="00E36BF7" w:rsidRPr="000B14EA">
          <w:rPr>
            <w:rStyle w:val="Hipervnculo"/>
            <w:rFonts w:ascii="Arial" w:hAnsi="Arial" w:cs="Arial"/>
            <w:lang w:val="en-GB"/>
          </w:rPr>
          <w:t>The World Federation of the Deafblind (</w:t>
        </w:r>
        <w:r w:rsidR="001B5118" w:rsidRPr="000B14EA">
          <w:rPr>
            <w:rStyle w:val="Hipervnculo"/>
            <w:rFonts w:ascii="Arial" w:hAnsi="Arial" w:cs="Arial"/>
            <w:lang w:val="en-GB"/>
          </w:rPr>
          <w:t>W</w:t>
        </w:r>
        <w:r w:rsidR="00C15AF1" w:rsidRPr="000B14EA">
          <w:rPr>
            <w:rStyle w:val="Hipervnculo"/>
            <w:rFonts w:ascii="Arial" w:hAnsi="Arial" w:cs="Arial"/>
            <w:lang w:val="en-GB"/>
          </w:rPr>
          <w:t>FDB</w:t>
        </w:r>
        <w:r w:rsidR="00E36BF7" w:rsidRPr="000B14EA">
          <w:rPr>
            <w:rStyle w:val="Hipervnculo"/>
            <w:rFonts w:ascii="Arial" w:hAnsi="Arial" w:cs="Arial"/>
            <w:lang w:val="en-GB"/>
          </w:rPr>
          <w:t>)</w:t>
        </w:r>
      </w:hyperlink>
      <w:r w:rsidR="00C15AF1" w:rsidRPr="007905BD">
        <w:rPr>
          <w:rFonts w:ascii="Arial" w:hAnsi="Arial" w:cs="Arial"/>
          <w:lang w:val="en-GB"/>
        </w:rPr>
        <w:t xml:space="preserve"> is a global non-governmental advocacy organization by and for </w:t>
      </w:r>
      <w:r w:rsidR="001B5118" w:rsidRPr="007905BD">
        <w:rPr>
          <w:rFonts w:ascii="Arial" w:hAnsi="Arial" w:cs="Arial"/>
          <w:lang w:val="en-GB"/>
        </w:rPr>
        <w:t>persons</w:t>
      </w:r>
      <w:r w:rsidR="00C15AF1" w:rsidRPr="007905BD">
        <w:rPr>
          <w:rFonts w:ascii="Arial" w:hAnsi="Arial" w:cs="Arial"/>
          <w:lang w:val="en-GB"/>
        </w:rPr>
        <w:t xml:space="preserve"> with deafblindness</w:t>
      </w:r>
      <w:r w:rsidR="00FD153C" w:rsidRPr="007905BD">
        <w:rPr>
          <w:rFonts w:ascii="Arial" w:hAnsi="Arial" w:cs="Arial"/>
          <w:lang w:val="en-GB"/>
        </w:rPr>
        <w:t xml:space="preserve">, established in 2001 </w:t>
      </w:r>
      <w:r w:rsidR="00A52456">
        <w:rPr>
          <w:rFonts w:ascii="Arial" w:hAnsi="Arial" w:cs="Arial"/>
          <w:lang w:val="en-GB"/>
        </w:rPr>
        <w:t>which</w:t>
      </w:r>
      <w:r w:rsidR="00FD153C" w:rsidRPr="007905BD">
        <w:rPr>
          <w:rFonts w:ascii="Arial" w:hAnsi="Arial" w:cs="Arial"/>
          <w:lang w:val="en-GB"/>
        </w:rPr>
        <w:t xml:space="preserve"> consists today of 75 national and associated member organizations from 62 different countries from all corners of the world.</w:t>
      </w:r>
    </w:p>
    <w:p w14:paraId="5FC3610B" w14:textId="77777777" w:rsidR="00FD153C" w:rsidRPr="007905BD" w:rsidRDefault="00FD153C" w:rsidP="00FD153C">
      <w:pPr>
        <w:pStyle w:val="Default"/>
        <w:jc w:val="both"/>
        <w:rPr>
          <w:rFonts w:ascii="Arial" w:hAnsi="Arial" w:cs="Arial"/>
          <w:lang w:val="en-GB"/>
        </w:rPr>
      </w:pPr>
    </w:p>
    <w:p w14:paraId="4DD4093A" w14:textId="76FC5446" w:rsidR="00FD153C" w:rsidRPr="007905BD" w:rsidRDefault="00FD153C" w:rsidP="00FD153C">
      <w:pPr>
        <w:pStyle w:val="Default"/>
        <w:jc w:val="both"/>
        <w:rPr>
          <w:rFonts w:ascii="Arial" w:hAnsi="Arial" w:cs="Arial"/>
          <w:lang w:val="en-GB"/>
        </w:rPr>
      </w:pPr>
      <w:r w:rsidRPr="007905BD">
        <w:rPr>
          <w:rFonts w:ascii="Arial" w:hAnsi="Arial" w:cs="Arial"/>
          <w:lang w:val="en-GB"/>
        </w:rPr>
        <w:t>In 2007</w:t>
      </w:r>
      <w:r w:rsidR="00A52456">
        <w:rPr>
          <w:rFonts w:ascii="Arial" w:hAnsi="Arial" w:cs="Arial"/>
          <w:lang w:val="en-GB"/>
        </w:rPr>
        <w:t>,</w:t>
      </w:r>
      <w:r w:rsidRPr="007905BD">
        <w:rPr>
          <w:rFonts w:ascii="Arial" w:hAnsi="Arial" w:cs="Arial"/>
          <w:lang w:val="en-GB"/>
        </w:rPr>
        <w:t xml:space="preserve"> the organization attained consultative status at the UN Economic and Social Council (ECOSOC) and is a </w:t>
      </w:r>
      <w:r w:rsidR="00A52456">
        <w:rPr>
          <w:rFonts w:ascii="Arial" w:hAnsi="Arial" w:cs="Arial"/>
          <w:lang w:val="en-GB"/>
        </w:rPr>
        <w:t xml:space="preserve">proud </w:t>
      </w:r>
      <w:r w:rsidRPr="007905BD">
        <w:rPr>
          <w:rFonts w:ascii="Arial" w:hAnsi="Arial" w:cs="Arial"/>
          <w:lang w:val="en-GB"/>
        </w:rPr>
        <w:t>member of the International Disability Alliance (IDA) where the WFDB President serves as a member of the board.</w:t>
      </w:r>
    </w:p>
    <w:p w14:paraId="0C657C35" w14:textId="77777777" w:rsidR="00FD153C" w:rsidRPr="007905BD" w:rsidRDefault="00FD153C" w:rsidP="00FD153C">
      <w:pPr>
        <w:pStyle w:val="Default"/>
        <w:jc w:val="both"/>
        <w:rPr>
          <w:rFonts w:ascii="Arial" w:hAnsi="Arial" w:cs="Arial"/>
          <w:sz w:val="22"/>
          <w:szCs w:val="22"/>
          <w:lang w:val="en-US"/>
        </w:rPr>
      </w:pPr>
    </w:p>
    <w:p w14:paraId="03A4580B" w14:textId="487F2754" w:rsidR="00FD153C" w:rsidRPr="007905BD" w:rsidRDefault="00FD153C" w:rsidP="00FD153C">
      <w:pPr>
        <w:pStyle w:val="Ttulo2"/>
        <w:rPr>
          <w:rFonts w:ascii="Arial" w:hAnsi="Arial" w:cs="Arial"/>
          <w:b/>
          <w:bCs/>
          <w:lang w:val="en-GB"/>
        </w:rPr>
      </w:pPr>
      <w:r w:rsidRPr="007905BD">
        <w:rPr>
          <w:rFonts w:ascii="Arial" w:hAnsi="Arial" w:cs="Arial"/>
          <w:b/>
          <w:bCs/>
          <w:lang w:val="en-GB"/>
        </w:rPr>
        <w:t>Rationale</w:t>
      </w:r>
    </w:p>
    <w:p w14:paraId="4147BC38" w14:textId="77777777" w:rsidR="00CC7D5B" w:rsidRPr="007905BD" w:rsidRDefault="00CC7D5B" w:rsidP="00CC7D5B">
      <w:pPr>
        <w:pStyle w:val="Default"/>
        <w:jc w:val="both"/>
        <w:rPr>
          <w:rFonts w:ascii="Arial" w:hAnsi="Arial" w:cs="Arial"/>
          <w:lang w:val="en-GB"/>
        </w:rPr>
      </w:pPr>
      <w:r w:rsidRPr="007905BD">
        <w:rPr>
          <w:rFonts w:ascii="Arial" w:hAnsi="Arial" w:cs="Arial"/>
          <w:lang w:val="en-GB"/>
        </w:rPr>
        <w:t xml:space="preserve">In March 2023, </w:t>
      </w:r>
      <w:hyperlink r:id="rId11" w:history="1">
        <w:r w:rsidRPr="000B14EA">
          <w:rPr>
            <w:rStyle w:val="Hipervnculo"/>
            <w:rFonts w:ascii="Arial" w:hAnsi="Arial" w:cs="Arial"/>
            <w:lang w:val="en-GB"/>
          </w:rPr>
          <w:t>WFDB published its</w:t>
        </w:r>
        <w:r w:rsidRPr="00FD153C">
          <w:rPr>
            <w:rStyle w:val="Hipervnculo"/>
            <w:rFonts w:ascii="Arial" w:hAnsi="Arial" w:cs="Arial"/>
            <w:lang w:val="en-GB"/>
          </w:rPr>
          <w:t xml:space="preserve"> second global report</w:t>
        </w:r>
      </w:hyperlink>
      <w:r w:rsidRPr="00FD153C">
        <w:rPr>
          <w:rFonts w:ascii="Arial" w:hAnsi="Arial" w:cs="Arial"/>
          <w:lang w:val="en-GB"/>
        </w:rPr>
        <w:t xml:space="preserve"> </w:t>
      </w:r>
      <w:r>
        <w:rPr>
          <w:rFonts w:ascii="Arial" w:hAnsi="Arial" w:cs="Arial"/>
          <w:lang w:val="en-GB"/>
        </w:rPr>
        <w:t xml:space="preserve">which </w:t>
      </w:r>
      <w:r w:rsidRPr="00FD153C">
        <w:rPr>
          <w:rFonts w:ascii="Arial" w:hAnsi="Arial" w:cs="Arial"/>
          <w:lang w:val="en-GB"/>
        </w:rPr>
        <w:t xml:space="preserve">seeks to build on the findings and recommendations of </w:t>
      </w:r>
      <w:hyperlink r:id="rId12" w:history="1">
        <w:r>
          <w:rPr>
            <w:rStyle w:val="Hipervnculo"/>
            <w:rFonts w:ascii="Arial" w:hAnsi="Arial" w:cs="Arial"/>
            <w:lang w:val="en-GB"/>
          </w:rPr>
          <w:t>WFDB's first global report</w:t>
        </w:r>
      </w:hyperlink>
      <w:r w:rsidRPr="007905BD">
        <w:rPr>
          <w:rFonts w:ascii="Arial" w:hAnsi="Arial" w:cs="Arial"/>
          <w:lang w:val="en-GB"/>
        </w:rPr>
        <w:t>, published in 2018,</w:t>
      </w:r>
      <w:r w:rsidRPr="00FD153C">
        <w:rPr>
          <w:rFonts w:ascii="Arial" w:hAnsi="Arial" w:cs="Arial"/>
          <w:lang w:val="en-GB"/>
        </w:rPr>
        <w:t xml:space="preserve"> and consolidate evidence from different regions and diverse groups, including persons with deafblindness and professionals. This report builds on the quantitative analysis of the first report, providing data on children with deafblindness.</w:t>
      </w:r>
    </w:p>
    <w:p w14:paraId="780C82FD" w14:textId="77777777" w:rsidR="00CC7D5B" w:rsidRPr="00FD153C" w:rsidRDefault="00CC7D5B" w:rsidP="00CC7D5B">
      <w:pPr>
        <w:pStyle w:val="Default"/>
        <w:jc w:val="both"/>
        <w:rPr>
          <w:rFonts w:ascii="Arial" w:hAnsi="Arial" w:cs="Arial"/>
          <w:lang w:val="en-GB"/>
        </w:rPr>
      </w:pPr>
    </w:p>
    <w:p w14:paraId="130A0B2A" w14:textId="77777777" w:rsidR="00CC7D5B" w:rsidRDefault="00CC7D5B" w:rsidP="00CC7D5B">
      <w:pPr>
        <w:pStyle w:val="Default"/>
        <w:jc w:val="both"/>
        <w:rPr>
          <w:rFonts w:ascii="Arial" w:hAnsi="Arial" w:cs="Arial"/>
          <w:lang w:val="en-GB"/>
        </w:rPr>
      </w:pPr>
      <w:r w:rsidRPr="00FD153C">
        <w:rPr>
          <w:rFonts w:ascii="Arial" w:hAnsi="Arial" w:cs="Arial"/>
          <w:lang w:val="en-GB"/>
        </w:rPr>
        <w:t>The qualitative analysis identifies good practices, essential elements, measures that increase and improve the inclusion of persons with deafblindness, case studies to illustrate and inspire good practices and programmatic approaches, and recommendations across thematic areas.</w:t>
      </w:r>
      <w:r w:rsidRPr="007905BD">
        <w:rPr>
          <w:rFonts w:ascii="Arial" w:hAnsi="Arial" w:cs="Arial"/>
          <w:lang w:val="en-GB"/>
        </w:rPr>
        <w:t xml:space="preserve"> Every chapter in the report includes specific recommendations for three different groups: governments, OPDs and NGOs and donors.</w:t>
      </w:r>
    </w:p>
    <w:p w14:paraId="035B096D" w14:textId="77777777" w:rsidR="00CC7D5B" w:rsidRPr="007905BD" w:rsidRDefault="00CC7D5B" w:rsidP="00CC7D5B">
      <w:pPr>
        <w:pStyle w:val="Default"/>
        <w:jc w:val="both"/>
        <w:rPr>
          <w:rFonts w:ascii="Arial" w:hAnsi="Arial" w:cs="Arial"/>
          <w:lang w:val="en-GB"/>
        </w:rPr>
      </w:pPr>
    </w:p>
    <w:p w14:paraId="568552CB" w14:textId="77777777" w:rsidR="00CC7D5B" w:rsidRDefault="00CC7D5B" w:rsidP="00CC7D5B">
      <w:pPr>
        <w:pStyle w:val="Default"/>
        <w:jc w:val="both"/>
        <w:rPr>
          <w:rFonts w:ascii="Arial" w:hAnsi="Arial" w:cs="Arial"/>
          <w:lang w:val="en-GB"/>
        </w:rPr>
      </w:pPr>
      <w:r w:rsidRPr="007905BD">
        <w:rPr>
          <w:rFonts w:ascii="Arial" w:hAnsi="Arial" w:cs="Arial"/>
          <w:lang w:val="en-GB"/>
        </w:rPr>
        <w:t>Key audiences for this report include national and local government officials and statutory bodies, donors, non-governmental organisations (NGOs), organisations of persons with disabilities (OPDs), service providers and frontline staff, intergovernmental organisations (such as United Nations entities and country teams), and others.</w:t>
      </w:r>
    </w:p>
    <w:p w14:paraId="53C6186D" w14:textId="77777777" w:rsidR="00CC7D5B" w:rsidRPr="00FD153C" w:rsidRDefault="00CC7D5B" w:rsidP="00CC7D5B">
      <w:pPr>
        <w:pStyle w:val="Default"/>
        <w:jc w:val="both"/>
        <w:rPr>
          <w:rFonts w:ascii="Arial" w:hAnsi="Arial" w:cs="Arial"/>
          <w:lang w:val="en-GB"/>
        </w:rPr>
      </w:pPr>
    </w:p>
    <w:p w14:paraId="71A3EFE7" w14:textId="77777777" w:rsidR="00CC7D5B" w:rsidRDefault="00CC7D5B" w:rsidP="00CC7D5B">
      <w:pPr>
        <w:pStyle w:val="Default"/>
        <w:jc w:val="both"/>
        <w:rPr>
          <w:rFonts w:ascii="Arial" w:hAnsi="Arial" w:cs="Arial"/>
          <w:lang w:val="en-GB"/>
        </w:rPr>
      </w:pPr>
      <w:r w:rsidRPr="007905BD">
        <w:rPr>
          <w:rFonts w:ascii="Arial" w:hAnsi="Arial" w:cs="Arial"/>
          <w:lang w:val="en-GB"/>
        </w:rPr>
        <w:t xml:space="preserve">During this side event, WFDB </w:t>
      </w:r>
      <w:r>
        <w:rPr>
          <w:rFonts w:ascii="Arial" w:hAnsi="Arial" w:cs="Arial"/>
          <w:lang w:val="en-GB"/>
        </w:rPr>
        <w:t>intends to</w:t>
      </w:r>
      <w:r w:rsidRPr="007905BD">
        <w:rPr>
          <w:rFonts w:ascii="Arial" w:hAnsi="Arial" w:cs="Arial"/>
          <w:lang w:val="en-GB"/>
        </w:rPr>
        <w:t xml:space="preserve"> present </w:t>
      </w:r>
      <w:r>
        <w:rPr>
          <w:rFonts w:ascii="Arial" w:hAnsi="Arial" w:cs="Arial"/>
          <w:lang w:val="en-GB"/>
        </w:rPr>
        <w:t>its</w:t>
      </w:r>
      <w:r w:rsidRPr="007905BD">
        <w:rPr>
          <w:rFonts w:ascii="Arial" w:hAnsi="Arial" w:cs="Arial"/>
          <w:lang w:val="en-GB"/>
        </w:rPr>
        <w:t xml:space="preserve"> </w:t>
      </w:r>
      <w:hyperlink r:id="rId13" w:history="1">
        <w:r w:rsidRPr="000B14EA">
          <w:rPr>
            <w:rStyle w:val="Hipervnculo"/>
            <w:rFonts w:ascii="Arial" w:hAnsi="Arial" w:cs="Arial"/>
            <w:lang w:val="en-GB"/>
          </w:rPr>
          <w:t>2nd Global Report</w:t>
        </w:r>
      </w:hyperlink>
      <w:r w:rsidRPr="007905BD">
        <w:rPr>
          <w:rFonts w:ascii="Arial" w:hAnsi="Arial" w:cs="Arial"/>
          <w:lang w:val="en-GB"/>
        </w:rPr>
        <w:t xml:space="preserve">, a key advocacy tool </w:t>
      </w:r>
      <w:r w:rsidRPr="00FD153C">
        <w:rPr>
          <w:rFonts w:ascii="Arial" w:hAnsi="Arial" w:cs="Arial"/>
          <w:lang w:val="en-GB"/>
        </w:rPr>
        <w:t xml:space="preserve">for </w:t>
      </w:r>
      <w:r w:rsidRPr="007905BD">
        <w:rPr>
          <w:rFonts w:ascii="Arial" w:hAnsi="Arial" w:cs="Arial"/>
          <w:lang w:val="en-GB"/>
        </w:rPr>
        <w:t>the deafblind community an</w:t>
      </w:r>
      <w:r w:rsidRPr="00FD153C">
        <w:rPr>
          <w:rFonts w:ascii="Arial" w:hAnsi="Arial" w:cs="Arial"/>
          <w:lang w:val="en-GB"/>
        </w:rPr>
        <w:t xml:space="preserve">d their allies to stimulate collaboration and partnerships to advance the rights of persons </w:t>
      </w:r>
      <w:r w:rsidRPr="00FD153C">
        <w:rPr>
          <w:rFonts w:ascii="Arial" w:hAnsi="Arial" w:cs="Arial"/>
          <w:lang w:val="en-GB"/>
        </w:rPr>
        <w:lastRenderedPageBreak/>
        <w:t xml:space="preserve">with deafblindness and inform </w:t>
      </w:r>
      <w:r w:rsidRPr="007905BD">
        <w:rPr>
          <w:rFonts w:ascii="Arial" w:hAnsi="Arial" w:cs="Arial"/>
          <w:lang w:val="en-GB"/>
        </w:rPr>
        <w:t>governments</w:t>
      </w:r>
      <w:r w:rsidRPr="00FD153C">
        <w:rPr>
          <w:rFonts w:ascii="Arial" w:hAnsi="Arial" w:cs="Arial"/>
          <w:lang w:val="en-GB"/>
        </w:rPr>
        <w:t xml:space="preserve"> on how to foster the inclusion of persons with deafblindness.</w:t>
      </w:r>
    </w:p>
    <w:p w14:paraId="6AAE7201" w14:textId="77777777" w:rsidR="000B14EA" w:rsidRPr="000B14EA" w:rsidRDefault="000B14EA" w:rsidP="000B14EA">
      <w:pPr>
        <w:pStyle w:val="Default"/>
        <w:jc w:val="both"/>
        <w:rPr>
          <w:rFonts w:ascii="Arial" w:hAnsi="Arial" w:cs="Arial"/>
          <w:lang w:val="en-GB"/>
        </w:rPr>
      </w:pPr>
    </w:p>
    <w:p w14:paraId="1BC2C624" w14:textId="6DC879BD" w:rsidR="00FD153C" w:rsidRPr="007905BD" w:rsidRDefault="00FD153C" w:rsidP="007A7E89">
      <w:pPr>
        <w:pStyle w:val="Default"/>
        <w:jc w:val="both"/>
        <w:rPr>
          <w:rFonts w:ascii="Arial" w:eastAsiaTheme="majorEastAsia" w:hAnsi="Arial" w:cs="Arial"/>
          <w:b/>
          <w:bCs/>
          <w:color w:val="2F5496" w:themeColor="accent1" w:themeShade="BF"/>
          <w:sz w:val="26"/>
          <w:szCs w:val="26"/>
          <w:lang w:val="en-GB"/>
        </w:rPr>
      </w:pPr>
      <w:r w:rsidRPr="007905BD">
        <w:rPr>
          <w:rFonts w:ascii="Arial" w:eastAsiaTheme="majorEastAsia" w:hAnsi="Arial" w:cs="Arial"/>
          <w:b/>
          <w:bCs/>
          <w:color w:val="2F5496" w:themeColor="accent1" w:themeShade="BF"/>
          <w:sz w:val="26"/>
          <w:szCs w:val="26"/>
          <w:lang w:val="en-GB"/>
        </w:rPr>
        <w:t>Objectives</w:t>
      </w:r>
    </w:p>
    <w:p w14:paraId="08A2F915" w14:textId="524F6AD7" w:rsidR="00FD153C" w:rsidRPr="007905BD" w:rsidRDefault="00FD153C" w:rsidP="00DE3DC7">
      <w:pPr>
        <w:pStyle w:val="Default"/>
        <w:jc w:val="both"/>
        <w:rPr>
          <w:rFonts w:ascii="Arial" w:hAnsi="Arial" w:cs="Arial"/>
          <w:lang w:val="en-US"/>
        </w:rPr>
      </w:pPr>
      <w:r w:rsidRPr="007905BD">
        <w:rPr>
          <w:rFonts w:ascii="Arial" w:hAnsi="Arial" w:cs="Arial"/>
          <w:lang w:val="en-GB"/>
        </w:rPr>
        <w:t xml:space="preserve">The side event would include the participation of </w:t>
      </w:r>
      <w:r w:rsidR="009519C6" w:rsidRPr="007905BD">
        <w:rPr>
          <w:rFonts w:ascii="Arial" w:hAnsi="Arial" w:cs="Arial"/>
          <w:lang w:val="en-GB"/>
        </w:rPr>
        <w:t xml:space="preserve">governments and other key stakeholders, providing </w:t>
      </w:r>
      <w:r w:rsidRPr="007905BD">
        <w:rPr>
          <w:rFonts w:ascii="Arial" w:hAnsi="Arial" w:cs="Arial"/>
          <w:lang w:val="en-GB"/>
        </w:rPr>
        <w:t xml:space="preserve">an excellent opportunity to </w:t>
      </w:r>
      <w:r w:rsidR="009519C6" w:rsidRPr="007905BD">
        <w:rPr>
          <w:rFonts w:ascii="Arial" w:hAnsi="Arial" w:cs="Arial"/>
          <w:lang w:val="en-GB"/>
        </w:rPr>
        <w:t>discuss urgent priorities to ensure persons with deafblindness are not left behind.</w:t>
      </w:r>
    </w:p>
    <w:p w14:paraId="2CBEBD5E" w14:textId="77777777" w:rsidR="00FD153C" w:rsidRPr="007905BD" w:rsidRDefault="00FD153C" w:rsidP="00DE3DC7">
      <w:pPr>
        <w:pStyle w:val="Default"/>
        <w:jc w:val="both"/>
        <w:rPr>
          <w:rFonts w:ascii="Arial" w:hAnsi="Arial" w:cs="Arial"/>
          <w:lang w:val="en-GB"/>
        </w:rPr>
      </w:pPr>
    </w:p>
    <w:p w14:paraId="621A592B" w14:textId="018ECF59" w:rsidR="009519C6" w:rsidRPr="007905BD" w:rsidRDefault="009519C6" w:rsidP="009519C6">
      <w:pPr>
        <w:pStyle w:val="Default"/>
        <w:numPr>
          <w:ilvl w:val="0"/>
          <w:numId w:val="1"/>
        </w:numPr>
        <w:jc w:val="both"/>
        <w:rPr>
          <w:rFonts w:ascii="Arial" w:hAnsi="Arial" w:cs="Arial"/>
          <w:lang w:val="en-GB"/>
        </w:rPr>
      </w:pPr>
      <w:r w:rsidRPr="007905BD">
        <w:rPr>
          <w:rFonts w:ascii="Arial" w:hAnsi="Arial" w:cs="Arial"/>
          <w:lang w:val="en-GB"/>
        </w:rPr>
        <w:t xml:space="preserve">The objectives of this online event can be summarised as follows: </w:t>
      </w:r>
      <w:r w:rsidRPr="007905BD">
        <w:rPr>
          <w:rFonts w:ascii="Arial" w:hAnsi="Arial" w:cs="Arial"/>
          <w:lang w:val="en-GB"/>
        </w:rPr>
        <w:br/>
      </w:r>
    </w:p>
    <w:p w14:paraId="0E6CA40D" w14:textId="79C388CD" w:rsidR="009519C6" w:rsidRPr="007905BD" w:rsidRDefault="009519C6" w:rsidP="009519C6">
      <w:pPr>
        <w:pStyle w:val="Default"/>
        <w:numPr>
          <w:ilvl w:val="0"/>
          <w:numId w:val="10"/>
        </w:numPr>
        <w:jc w:val="both"/>
        <w:rPr>
          <w:rFonts w:ascii="Arial" w:hAnsi="Arial" w:cs="Arial"/>
          <w:lang w:val="en-GB"/>
        </w:rPr>
      </w:pPr>
      <w:r w:rsidRPr="007905BD">
        <w:rPr>
          <w:rFonts w:ascii="Arial" w:hAnsi="Arial" w:cs="Arial"/>
          <w:lang w:val="en-GB"/>
        </w:rPr>
        <w:t xml:space="preserve">Present </w:t>
      </w:r>
      <w:hyperlink r:id="rId14" w:history="1">
        <w:r w:rsidR="000B14EA" w:rsidRPr="000B14EA">
          <w:rPr>
            <w:rStyle w:val="Hipervnculo"/>
            <w:rFonts w:ascii="Arial" w:hAnsi="Arial" w:cs="Arial"/>
            <w:lang w:val="en-GB"/>
          </w:rPr>
          <w:t>WFDB’s</w:t>
        </w:r>
        <w:r w:rsidRPr="000B14EA">
          <w:rPr>
            <w:rStyle w:val="Hipervnculo"/>
            <w:rFonts w:ascii="Arial" w:hAnsi="Arial" w:cs="Arial"/>
            <w:lang w:val="en-GB"/>
          </w:rPr>
          <w:t xml:space="preserve"> </w:t>
        </w:r>
        <w:r w:rsidR="00A52456">
          <w:rPr>
            <w:rStyle w:val="Hipervnculo"/>
            <w:rFonts w:ascii="Arial" w:hAnsi="Arial" w:cs="Arial"/>
            <w:lang w:val="en-GB"/>
          </w:rPr>
          <w:t xml:space="preserve">recently published </w:t>
        </w:r>
        <w:r w:rsidRPr="000B14EA">
          <w:rPr>
            <w:rStyle w:val="Hipervnculo"/>
            <w:rFonts w:ascii="Arial" w:hAnsi="Arial" w:cs="Arial"/>
            <w:lang w:val="en-GB"/>
          </w:rPr>
          <w:t>2nd Global Report</w:t>
        </w:r>
      </w:hyperlink>
      <w:r w:rsidRPr="007905BD">
        <w:rPr>
          <w:rFonts w:ascii="Arial" w:hAnsi="Arial" w:cs="Arial"/>
          <w:lang w:val="en-GB"/>
        </w:rPr>
        <w:t xml:space="preserve"> and main barriers </w:t>
      </w:r>
      <w:r w:rsidR="000B14EA">
        <w:rPr>
          <w:rFonts w:ascii="Arial" w:hAnsi="Arial" w:cs="Arial"/>
          <w:lang w:val="en-GB"/>
        </w:rPr>
        <w:t xml:space="preserve">to </w:t>
      </w:r>
      <w:r w:rsidRPr="007905BD">
        <w:rPr>
          <w:rFonts w:ascii="Arial" w:hAnsi="Arial" w:cs="Arial"/>
          <w:lang w:val="en-GB"/>
        </w:rPr>
        <w:t>and recommendations for the Inclusion of Persons with Deafblindness</w:t>
      </w:r>
    </w:p>
    <w:p w14:paraId="1F81ECD1" w14:textId="77777777" w:rsidR="009519C6" w:rsidRPr="007905BD" w:rsidRDefault="009519C6" w:rsidP="009519C6">
      <w:pPr>
        <w:pStyle w:val="Default"/>
        <w:ind w:left="720"/>
        <w:jc w:val="both"/>
        <w:rPr>
          <w:rFonts w:ascii="Arial" w:hAnsi="Arial" w:cs="Arial"/>
          <w:lang w:val="en-GB"/>
        </w:rPr>
      </w:pPr>
    </w:p>
    <w:p w14:paraId="4015DA4D" w14:textId="0A236766" w:rsidR="007905BD" w:rsidRPr="007905BD" w:rsidRDefault="00A52456" w:rsidP="007905BD">
      <w:pPr>
        <w:pStyle w:val="Default"/>
        <w:numPr>
          <w:ilvl w:val="0"/>
          <w:numId w:val="10"/>
        </w:numPr>
        <w:jc w:val="both"/>
        <w:rPr>
          <w:rFonts w:ascii="Arial" w:hAnsi="Arial" w:cs="Arial"/>
          <w:lang w:val="en-GB"/>
        </w:rPr>
      </w:pPr>
      <w:r>
        <w:rPr>
          <w:rFonts w:ascii="Arial" w:hAnsi="Arial" w:cs="Arial"/>
          <w:lang w:val="en-GB"/>
        </w:rPr>
        <w:t>Introduce</w:t>
      </w:r>
      <w:r w:rsidR="009519C6" w:rsidRPr="007905BD">
        <w:rPr>
          <w:rFonts w:ascii="Arial" w:hAnsi="Arial" w:cs="Arial"/>
          <w:lang w:val="en-GB"/>
        </w:rPr>
        <w:t xml:space="preserve"> the </w:t>
      </w:r>
      <w:hyperlink r:id="rId15" w:history="1">
        <w:r w:rsidR="009519C6" w:rsidRPr="000B14EA">
          <w:rPr>
            <w:rStyle w:val="Hipervnculo"/>
            <w:rFonts w:ascii="Arial" w:hAnsi="Arial" w:cs="Arial"/>
            <w:lang w:val="en-GB"/>
          </w:rPr>
          <w:t>SHAPES Project</w:t>
        </w:r>
      </w:hyperlink>
      <w:r w:rsidR="009519C6" w:rsidRPr="007905BD">
        <w:rPr>
          <w:rFonts w:ascii="Arial" w:hAnsi="Arial" w:cs="Arial"/>
          <w:lang w:val="en-GB"/>
        </w:rPr>
        <w:t xml:space="preserve"> (an Innovation Action funded by the European Union’s Horizon 2020 programme) as a</w:t>
      </w:r>
      <w:r w:rsidR="007905BD" w:rsidRPr="007905BD">
        <w:rPr>
          <w:rFonts w:ascii="Arial" w:hAnsi="Arial" w:cs="Arial"/>
          <w:lang w:val="en-GB"/>
        </w:rPr>
        <w:t xml:space="preserve"> case study and </w:t>
      </w:r>
      <w:r w:rsidR="009519C6" w:rsidRPr="007905BD">
        <w:rPr>
          <w:rFonts w:ascii="Arial" w:hAnsi="Arial" w:cs="Arial"/>
          <w:lang w:val="en-GB"/>
        </w:rPr>
        <w:t>example of a good practice on how to involve the deafblind community in large scale projects</w:t>
      </w:r>
      <w:r w:rsidR="007905BD" w:rsidRPr="007905BD">
        <w:rPr>
          <w:rFonts w:ascii="Arial" w:hAnsi="Arial" w:cs="Arial"/>
          <w:lang w:val="en-GB"/>
        </w:rPr>
        <w:t>, including older people with deafblindness.</w:t>
      </w:r>
      <w:r w:rsidR="007905BD" w:rsidRPr="007905BD">
        <w:rPr>
          <w:rFonts w:ascii="Arial" w:hAnsi="Arial" w:cs="Arial"/>
          <w:lang w:val="en-GB"/>
        </w:rPr>
        <w:br/>
      </w:r>
    </w:p>
    <w:p w14:paraId="39360012" w14:textId="14D2A8E8" w:rsidR="007905BD" w:rsidRPr="007905BD" w:rsidRDefault="007905BD" w:rsidP="007905BD">
      <w:pPr>
        <w:pStyle w:val="Default"/>
        <w:numPr>
          <w:ilvl w:val="0"/>
          <w:numId w:val="10"/>
        </w:numPr>
        <w:jc w:val="both"/>
        <w:rPr>
          <w:rFonts w:ascii="Arial" w:eastAsia="Arial" w:hAnsi="Arial" w:cs="Arial"/>
          <w:lang w:val="en-US"/>
        </w:rPr>
      </w:pPr>
      <w:r w:rsidRPr="007905BD">
        <w:rPr>
          <w:rFonts w:ascii="Arial" w:hAnsi="Arial" w:cs="Arial"/>
          <w:lang w:val="en-GB"/>
        </w:rPr>
        <w:t>Raise awareness on the fact that persons with deafblindness are a broad and diverse group that require reasonable accommodations and tailored deafblindness-specific services, such as interpreter-guides/Deafblind interpreters</w:t>
      </w:r>
      <w:r w:rsidR="00A52456">
        <w:rPr>
          <w:rFonts w:ascii="Arial" w:hAnsi="Arial" w:cs="Arial"/>
          <w:lang w:val="en-GB"/>
        </w:rPr>
        <w:t xml:space="preserve"> to</w:t>
      </w:r>
      <w:r w:rsidR="00A52456" w:rsidRPr="00A52456">
        <w:rPr>
          <w:rFonts w:ascii="Arial" w:hAnsi="Arial" w:cs="Arial"/>
          <w:lang w:val="en-GB"/>
        </w:rPr>
        <w:t xml:space="preserve"> ensur</w:t>
      </w:r>
      <w:r w:rsidR="00A52456">
        <w:rPr>
          <w:rFonts w:ascii="Arial" w:hAnsi="Arial" w:cs="Arial"/>
          <w:lang w:val="en-GB"/>
        </w:rPr>
        <w:t>e</w:t>
      </w:r>
      <w:r w:rsidR="00A52456" w:rsidRPr="00A52456">
        <w:rPr>
          <w:rFonts w:ascii="Arial" w:hAnsi="Arial" w:cs="Arial"/>
          <w:lang w:val="en-GB"/>
        </w:rPr>
        <w:t xml:space="preserve"> social inclusion, participation, independence, and autonomy.</w:t>
      </w:r>
    </w:p>
    <w:p w14:paraId="77CF0C22" w14:textId="77777777" w:rsidR="007905BD" w:rsidRPr="007905BD" w:rsidRDefault="007905BD" w:rsidP="007905BD">
      <w:pPr>
        <w:pStyle w:val="Default"/>
        <w:ind w:left="720"/>
        <w:jc w:val="both"/>
        <w:rPr>
          <w:rFonts w:ascii="Arial" w:hAnsi="Arial" w:cs="Arial"/>
          <w:lang w:val="en-GB"/>
        </w:rPr>
      </w:pPr>
    </w:p>
    <w:p w14:paraId="4CD5C5E6" w14:textId="361F2E15" w:rsidR="007905BD" w:rsidRPr="007905BD" w:rsidRDefault="007905BD" w:rsidP="00741677">
      <w:pPr>
        <w:pStyle w:val="Default"/>
        <w:numPr>
          <w:ilvl w:val="0"/>
          <w:numId w:val="10"/>
        </w:numPr>
        <w:jc w:val="both"/>
        <w:rPr>
          <w:rFonts w:ascii="Arial" w:hAnsi="Arial" w:cs="Arial"/>
          <w:lang w:val="en-GB"/>
        </w:rPr>
      </w:pPr>
      <w:r w:rsidRPr="007905BD">
        <w:rPr>
          <w:rFonts w:ascii="Arial" w:hAnsi="Arial" w:cs="Arial"/>
          <w:lang w:val="en-GB"/>
        </w:rPr>
        <w:t>Highlight</w:t>
      </w:r>
      <w:r w:rsidR="00A52456">
        <w:rPr>
          <w:rFonts w:ascii="Arial" w:hAnsi="Arial" w:cs="Arial"/>
          <w:lang w:val="en-GB"/>
        </w:rPr>
        <w:t xml:space="preserve"> and discuss</w:t>
      </w:r>
      <w:r w:rsidRPr="007905BD">
        <w:rPr>
          <w:rFonts w:ascii="Arial" w:hAnsi="Arial" w:cs="Arial"/>
          <w:lang w:val="en-GB"/>
        </w:rPr>
        <w:t xml:space="preserve"> the importance of reaching under-represented groups of persons with disabilities, such as persons with deafblindness, in line with Sub theme 3 of CoSP 2023.</w:t>
      </w:r>
    </w:p>
    <w:p w14:paraId="390DB353" w14:textId="77777777" w:rsidR="007905BD" w:rsidRDefault="007905BD" w:rsidP="007905BD">
      <w:pPr>
        <w:pStyle w:val="Prrafodelista"/>
        <w:rPr>
          <w:rFonts w:ascii="Arial" w:hAnsi="Arial" w:cs="Arial"/>
          <w:sz w:val="24"/>
          <w:szCs w:val="24"/>
          <w:lang w:val="en-GB"/>
        </w:rPr>
      </w:pPr>
    </w:p>
    <w:p w14:paraId="217E6D78" w14:textId="77777777" w:rsidR="007951F9" w:rsidRDefault="007951F9" w:rsidP="007905BD">
      <w:pPr>
        <w:pStyle w:val="Prrafodelista"/>
        <w:rPr>
          <w:rFonts w:ascii="Arial" w:hAnsi="Arial" w:cs="Arial"/>
          <w:sz w:val="24"/>
          <w:szCs w:val="24"/>
          <w:lang w:val="en-GB"/>
        </w:rPr>
      </w:pPr>
    </w:p>
    <w:p w14:paraId="7A391D35" w14:textId="77777777" w:rsidR="007951F9" w:rsidRDefault="007951F9" w:rsidP="007905BD">
      <w:pPr>
        <w:pStyle w:val="Prrafodelista"/>
        <w:rPr>
          <w:rFonts w:ascii="Arial" w:hAnsi="Arial" w:cs="Arial"/>
          <w:sz w:val="24"/>
          <w:szCs w:val="24"/>
          <w:lang w:val="en-GB"/>
        </w:rPr>
      </w:pPr>
    </w:p>
    <w:p w14:paraId="16590237" w14:textId="77777777" w:rsidR="007951F9" w:rsidRDefault="007951F9" w:rsidP="007951F9">
      <w:pPr>
        <w:rPr>
          <w:rFonts w:ascii="Arial" w:hAnsi="Arial" w:cs="Arial"/>
          <w:b/>
          <w:bCs/>
          <w:sz w:val="24"/>
          <w:szCs w:val="24"/>
          <w:lang w:val="en-GB"/>
        </w:rPr>
      </w:pPr>
    </w:p>
    <w:p w14:paraId="17ABD0E2" w14:textId="435E89DC" w:rsidR="007951F9" w:rsidRPr="007951F9" w:rsidRDefault="007951F9" w:rsidP="007951F9">
      <w:pPr>
        <w:rPr>
          <w:rFonts w:ascii="Arial" w:hAnsi="Arial" w:cs="Arial"/>
          <w:b/>
          <w:bCs/>
          <w:sz w:val="24"/>
          <w:szCs w:val="24"/>
          <w:lang w:val="en-GB"/>
        </w:rPr>
      </w:pPr>
      <w:r w:rsidRPr="007951F9">
        <w:rPr>
          <w:rFonts w:ascii="Arial" w:hAnsi="Arial" w:cs="Arial"/>
          <w:b/>
          <w:bCs/>
          <w:sz w:val="24"/>
          <w:szCs w:val="24"/>
          <w:lang w:val="en-GB"/>
        </w:rPr>
        <w:t>WFDB</w:t>
      </w:r>
      <w:r w:rsidR="00CC7D5B">
        <w:rPr>
          <w:rFonts w:ascii="Arial" w:hAnsi="Arial" w:cs="Arial"/>
          <w:b/>
          <w:bCs/>
          <w:sz w:val="24"/>
          <w:szCs w:val="24"/>
          <w:lang w:val="en-GB"/>
        </w:rPr>
        <w:t xml:space="preserve"> email address</w:t>
      </w:r>
      <w:r w:rsidRPr="007951F9">
        <w:rPr>
          <w:rFonts w:ascii="Arial" w:hAnsi="Arial" w:cs="Arial"/>
          <w:b/>
          <w:bCs/>
          <w:sz w:val="24"/>
          <w:szCs w:val="24"/>
          <w:lang w:val="en-GB"/>
        </w:rPr>
        <w:t>:</w:t>
      </w:r>
      <w:r w:rsidR="00CC7D5B">
        <w:rPr>
          <w:rFonts w:ascii="Arial" w:hAnsi="Arial" w:cs="Arial"/>
          <w:b/>
          <w:bCs/>
          <w:sz w:val="24"/>
          <w:szCs w:val="24"/>
          <w:lang w:val="en-GB"/>
        </w:rPr>
        <w:t xml:space="preserve"> </w:t>
      </w:r>
      <w:hyperlink r:id="rId16" w:history="1">
        <w:r w:rsidR="00CC7D5B" w:rsidRPr="006B1A29">
          <w:rPr>
            <w:rStyle w:val="Hipervnculo"/>
            <w:rFonts w:ascii="Arial" w:hAnsi="Arial" w:cs="Arial"/>
            <w:b/>
            <w:bCs/>
            <w:sz w:val="24"/>
            <w:szCs w:val="24"/>
            <w:lang w:val="en-GB"/>
          </w:rPr>
          <w:t>communication</w:t>
        </w:r>
        <w:r w:rsidR="00CC7D5B" w:rsidRPr="006B1A29">
          <w:rPr>
            <w:rStyle w:val="Hipervnculo"/>
            <w:rFonts w:ascii="Arial" w:hAnsi="Arial" w:cs="Arial"/>
            <w:b/>
            <w:bCs/>
            <w:sz w:val="24"/>
            <w:szCs w:val="24"/>
            <w:lang w:val="en-GB"/>
          </w:rPr>
          <w:t>@</w:t>
        </w:r>
        <w:r w:rsidR="00CC7D5B" w:rsidRPr="006B1A29">
          <w:rPr>
            <w:rStyle w:val="Hipervnculo"/>
            <w:rFonts w:ascii="Arial" w:hAnsi="Arial" w:cs="Arial"/>
            <w:b/>
            <w:bCs/>
            <w:sz w:val="24"/>
            <w:szCs w:val="24"/>
            <w:lang w:val="en-GB"/>
          </w:rPr>
          <w:t>wfdb.eu</w:t>
        </w:r>
      </w:hyperlink>
      <w:r w:rsidR="00CC7D5B">
        <w:rPr>
          <w:rFonts w:ascii="Arial" w:hAnsi="Arial" w:cs="Arial"/>
          <w:b/>
          <w:bCs/>
          <w:sz w:val="24"/>
          <w:szCs w:val="24"/>
          <w:lang w:val="en-GB"/>
        </w:rPr>
        <w:t xml:space="preserve"> </w:t>
      </w:r>
      <w:r w:rsidRPr="007951F9">
        <w:rPr>
          <w:rFonts w:ascii="Arial" w:hAnsi="Arial" w:cs="Arial"/>
          <w:b/>
          <w:bCs/>
          <w:sz w:val="24"/>
          <w:szCs w:val="24"/>
          <w:lang w:val="en-GB"/>
        </w:rPr>
        <w:t xml:space="preserve">   </w:t>
      </w:r>
      <w:r w:rsidR="00CC7D5B">
        <w:rPr>
          <w:rFonts w:ascii="Arial" w:hAnsi="Arial" w:cs="Arial"/>
          <w:b/>
          <w:bCs/>
          <w:sz w:val="24"/>
          <w:szCs w:val="24"/>
          <w:lang w:val="en-GB"/>
        </w:rPr>
        <w:t xml:space="preserve"> </w:t>
      </w:r>
    </w:p>
    <w:p w14:paraId="4ED4CDB4" w14:textId="54E451C6" w:rsidR="0024363B" w:rsidRPr="007905BD" w:rsidRDefault="0024363B">
      <w:pPr>
        <w:pStyle w:val="Default"/>
        <w:jc w:val="both"/>
        <w:rPr>
          <w:rFonts w:ascii="Arial" w:hAnsi="Arial" w:cs="Arial"/>
          <w:b/>
          <w:bCs/>
          <w:sz w:val="22"/>
          <w:szCs w:val="22"/>
          <w:lang w:val="en-GB"/>
        </w:rPr>
      </w:pPr>
    </w:p>
    <w:sectPr w:rsidR="0024363B" w:rsidRPr="007905BD" w:rsidSect="00572D24">
      <w:headerReference w:type="even" r:id="rId17"/>
      <w:headerReference w:type="default" r:id="rId18"/>
      <w:footerReference w:type="even" r:id="rId19"/>
      <w:footerReference w:type="default" r:id="rId20"/>
      <w:headerReference w:type="first" r:id="rId21"/>
      <w:footerReference w:type="first" r:id="rId22"/>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6FAB3" w14:textId="77777777" w:rsidR="00E5787E" w:rsidRDefault="00E5787E" w:rsidP="00916F66">
      <w:pPr>
        <w:spacing w:after="0" w:line="240" w:lineRule="auto"/>
      </w:pPr>
      <w:r>
        <w:separator/>
      </w:r>
    </w:p>
  </w:endnote>
  <w:endnote w:type="continuationSeparator" w:id="0">
    <w:p w14:paraId="6251AC9D" w14:textId="77777777" w:rsidR="00E5787E" w:rsidRDefault="00E5787E" w:rsidP="00916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F943" w14:textId="77777777" w:rsidR="003562D9" w:rsidRDefault="003562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00736" w14:textId="41191018" w:rsidR="00DD1DA6" w:rsidRDefault="00DD1DA6">
    <w:pPr>
      <w:pStyle w:val="Piedepgina"/>
      <w:rPr>
        <w:rFonts w:ascii="Arial" w:hAnsi="Arial" w:cs="Arial"/>
        <w:color w:val="4D5156"/>
        <w:sz w:val="21"/>
        <w:szCs w:val="21"/>
        <w:shd w:val="clear" w:color="auto" w:fill="FFFFFF"/>
        <w:lang w:val="en-GB"/>
      </w:rPr>
    </w:pPr>
  </w:p>
  <w:p w14:paraId="0A9408E5" w14:textId="798B4D32" w:rsidR="00DD1DA6" w:rsidRPr="007905BD" w:rsidRDefault="007905BD" w:rsidP="00DD1DA6">
    <w:pPr>
      <w:pStyle w:val="Piedepgina"/>
      <w:jc w:val="center"/>
      <w:rPr>
        <w:rFonts w:ascii="Arial" w:hAnsi="Arial" w:cs="Arial"/>
        <w:lang w:val="en-GB"/>
      </w:rPr>
    </w:pPr>
    <w:r w:rsidRPr="007905BD">
      <w:rPr>
        <w:rFonts w:ascii="Arial" w:hAnsi="Arial" w:cs="Arial"/>
        <w:noProof/>
      </w:rPr>
      <w:drawing>
        <wp:anchor distT="0" distB="0" distL="114300" distR="114300" simplePos="0" relativeHeight="251661312" behindDoc="1" locked="0" layoutInCell="1" allowOverlap="1" wp14:anchorId="271BC02B" wp14:editId="14871552">
          <wp:simplePos x="0" y="0"/>
          <wp:positionH relativeFrom="column">
            <wp:posOffset>-765810</wp:posOffset>
          </wp:positionH>
          <wp:positionV relativeFrom="paragraph">
            <wp:posOffset>149860</wp:posOffset>
          </wp:positionV>
          <wp:extent cx="1249045" cy="695325"/>
          <wp:effectExtent l="0" t="0" r="8255" b="9525"/>
          <wp:wrapTight wrapText="bothSides">
            <wp:wrapPolygon edited="0">
              <wp:start x="0" y="0"/>
              <wp:lineTo x="0" y="21304"/>
              <wp:lineTo x="21413" y="21304"/>
              <wp:lineTo x="21413" y="0"/>
              <wp:lineTo x="0" y="0"/>
            </wp:wrapPolygon>
          </wp:wrapTight>
          <wp:docPr id="3" name="Imagen 3" descr="SHAP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SHAP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04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905BD">
      <w:rPr>
        <w:rFonts w:ascii="Arial" w:hAnsi="Arial" w:cs="Arial"/>
        <w:noProof/>
      </w:rPr>
      <w:drawing>
        <wp:anchor distT="0" distB="0" distL="114300" distR="114300" simplePos="0" relativeHeight="251662336" behindDoc="1" locked="0" layoutInCell="1" allowOverlap="1" wp14:anchorId="37E84489" wp14:editId="30F8B4E4">
          <wp:simplePos x="0" y="0"/>
          <wp:positionH relativeFrom="column">
            <wp:posOffset>4898390</wp:posOffset>
          </wp:positionH>
          <wp:positionV relativeFrom="paragraph">
            <wp:posOffset>126365</wp:posOffset>
          </wp:positionV>
          <wp:extent cx="1250950" cy="833755"/>
          <wp:effectExtent l="0" t="0" r="6350" b="4445"/>
          <wp:wrapTight wrapText="bothSides">
            <wp:wrapPolygon edited="0">
              <wp:start x="0" y="0"/>
              <wp:lineTo x="0" y="21222"/>
              <wp:lineTo x="21381" y="21222"/>
              <wp:lineTo x="21381" y="0"/>
              <wp:lineTo x="0" y="0"/>
            </wp:wrapPolygon>
          </wp:wrapTight>
          <wp:docPr id="5" name="Imagen 5" descr="European Unio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European Union Fl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0950" cy="833755"/>
                  </a:xfrm>
                  <a:prstGeom prst="rect">
                    <a:avLst/>
                  </a:prstGeom>
                  <a:noFill/>
                  <a:ln>
                    <a:noFill/>
                  </a:ln>
                </pic:spPr>
              </pic:pic>
            </a:graphicData>
          </a:graphic>
        </wp:anchor>
      </w:drawing>
    </w:r>
    <w:r w:rsidR="00DD1DA6" w:rsidRPr="007905BD">
      <w:rPr>
        <w:rFonts w:ascii="Arial" w:hAnsi="Arial" w:cs="Arial"/>
        <w:lang w:val="en-GB"/>
      </w:rPr>
      <w:fldChar w:fldCharType="begin"/>
    </w:r>
    <w:r w:rsidR="00DD1DA6" w:rsidRPr="007905BD">
      <w:rPr>
        <w:rFonts w:ascii="Arial" w:hAnsi="Arial" w:cs="Arial"/>
        <w:lang w:val="en-GB"/>
      </w:rPr>
      <w:instrText>PAGE   \* MERGEFORMAT</w:instrText>
    </w:r>
    <w:r w:rsidR="00DD1DA6" w:rsidRPr="007905BD">
      <w:rPr>
        <w:rFonts w:ascii="Arial" w:hAnsi="Arial" w:cs="Arial"/>
        <w:lang w:val="en-GB"/>
      </w:rPr>
      <w:fldChar w:fldCharType="separate"/>
    </w:r>
    <w:r w:rsidR="00DD1DA6" w:rsidRPr="007905BD">
      <w:rPr>
        <w:rFonts w:ascii="Arial" w:hAnsi="Arial" w:cs="Arial"/>
        <w:lang w:val="en-GB"/>
      </w:rPr>
      <w:t>1</w:t>
    </w:r>
    <w:r w:rsidR="00DD1DA6" w:rsidRPr="007905BD">
      <w:rPr>
        <w:rFonts w:ascii="Arial" w:hAnsi="Arial" w:cs="Arial"/>
        <w:lang w:val="en-GB"/>
      </w:rPr>
      <w:fldChar w:fldCharType="end"/>
    </w:r>
  </w:p>
  <w:p w14:paraId="7EAAE83F" w14:textId="6E1B2A5A" w:rsidR="00DD1DA6" w:rsidRDefault="00DD1DA6" w:rsidP="00DD1DA6">
    <w:pPr>
      <w:pStyle w:val="Piedepgina"/>
      <w:jc w:val="center"/>
      <w:rPr>
        <w:lang w:val="en-GB"/>
      </w:rPr>
    </w:pPr>
  </w:p>
  <w:p w14:paraId="70760C4A" w14:textId="739FD726" w:rsidR="00DD1DA6" w:rsidRDefault="00DD1DA6" w:rsidP="00DD1DA6">
    <w:pPr>
      <w:pStyle w:val="Piedepgina"/>
      <w:jc w:val="center"/>
      <w:rPr>
        <w:rFonts w:ascii="Arial" w:hAnsi="Arial" w:cs="Arial"/>
        <w:color w:val="4D5156"/>
        <w:sz w:val="21"/>
        <w:szCs w:val="21"/>
        <w:shd w:val="clear" w:color="auto" w:fill="FFFFFF"/>
        <w:lang w:val="en-GB"/>
      </w:rPr>
    </w:pPr>
    <w:r w:rsidRPr="007A7E89">
      <w:rPr>
        <w:rStyle w:val="nfasis"/>
        <w:rFonts w:ascii="Arial" w:hAnsi="Arial" w:cs="Arial"/>
        <w:i w:val="0"/>
        <w:iCs w:val="0"/>
        <w:color w:val="5F6368"/>
        <w:sz w:val="21"/>
        <w:szCs w:val="21"/>
        <w:shd w:val="clear" w:color="auto" w:fill="FFFFFF"/>
        <w:lang w:val="en-GB"/>
      </w:rPr>
      <w:t>This project has received funding from the European Union's</w:t>
    </w:r>
    <w:r w:rsidRPr="007A7E89">
      <w:rPr>
        <w:rFonts w:ascii="Arial" w:hAnsi="Arial" w:cs="Arial"/>
        <w:color w:val="4D5156"/>
        <w:sz w:val="21"/>
        <w:szCs w:val="21"/>
        <w:shd w:val="clear" w:color="auto" w:fill="FFFFFF"/>
        <w:lang w:val="en-GB"/>
      </w:rPr>
      <w:t> Horizon 2020 research and innovation programme under grant agreement No 857159</w:t>
    </w:r>
  </w:p>
  <w:p w14:paraId="025E231F" w14:textId="77777777" w:rsidR="00DD1DA6" w:rsidRPr="007A7E89" w:rsidRDefault="00DD1DA6" w:rsidP="00DD1DA6">
    <w:pPr>
      <w:pStyle w:val="Piedepgina"/>
      <w:jc w:val="cen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CC5F" w14:textId="77777777" w:rsidR="003562D9" w:rsidRDefault="003562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CCDDB" w14:textId="77777777" w:rsidR="00E5787E" w:rsidRDefault="00E5787E" w:rsidP="00916F66">
      <w:pPr>
        <w:spacing w:after="0" w:line="240" w:lineRule="auto"/>
      </w:pPr>
      <w:r>
        <w:separator/>
      </w:r>
    </w:p>
  </w:footnote>
  <w:footnote w:type="continuationSeparator" w:id="0">
    <w:p w14:paraId="4F59731F" w14:textId="77777777" w:rsidR="00E5787E" w:rsidRDefault="00E5787E" w:rsidP="00916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92DF" w14:textId="77777777" w:rsidR="003562D9" w:rsidRDefault="003562D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4544B" w14:textId="771A7DC6" w:rsidR="0050179C" w:rsidRDefault="007905BD">
    <w:pPr>
      <w:pStyle w:val="Encabezado"/>
    </w:pPr>
    <w:r>
      <w:rPr>
        <w:noProof/>
      </w:rPr>
      <w:drawing>
        <wp:anchor distT="0" distB="0" distL="114300" distR="114300" simplePos="0" relativeHeight="251660288" behindDoc="1" locked="0" layoutInCell="1" allowOverlap="1" wp14:anchorId="5A1B4E25" wp14:editId="7A3E0660">
          <wp:simplePos x="0" y="0"/>
          <wp:positionH relativeFrom="margin">
            <wp:posOffset>822325</wp:posOffset>
          </wp:positionH>
          <wp:positionV relativeFrom="paragraph">
            <wp:posOffset>-345440</wp:posOffset>
          </wp:positionV>
          <wp:extent cx="1017905" cy="990600"/>
          <wp:effectExtent l="0" t="0" r="0" b="0"/>
          <wp:wrapTight wrapText="bothSides">
            <wp:wrapPolygon edited="0">
              <wp:start x="0" y="0"/>
              <wp:lineTo x="0" y="21185"/>
              <wp:lineTo x="21021" y="21185"/>
              <wp:lineTo x="21021" y="0"/>
              <wp:lineTo x="0" y="0"/>
            </wp:wrapPolygon>
          </wp:wrapTight>
          <wp:docPr id="1" name="Imagen 1" descr="WFD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WFDB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0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rPr>
      <w:drawing>
        <wp:anchor distT="0" distB="0" distL="114300" distR="114300" simplePos="0" relativeHeight="251659264" behindDoc="1" locked="0" layoutInCell="1" allowOverlap="1" wp14:anchorId="06D72B2F" wp14:editId="73399EBB">
          <wp:simplePos x="0" y="0"/>
          <wp:positionH relativeFrom="margin">
            <wp:posOffset>2704465</wp:posOffset>
          </wp:positionH>
          <wp:positionV relativeFrom="paragraph">
            <wp:posOffset>-224155</wp:posOffset>
          </wp:positionV>
          <wp:extent cx="1974850" cy="652780"/>
          <wp:effectExtent l="0" t="0" r="6350" b="0"/>
          <wp:wrapTight wrapText="bothSides">
            <wp:wrapPolygon edited="0">
              <wp:start x="3334" y="0"/>
              <wp:lineTo x="0" y="1891"/>
              <wp:lineTo x="0" y="19541"/>
              <wp:lineTo x="2500" y="20802"/>
              <wp:lineTo x="16044" y="20802"/>
              <wp:lineTo x="21461" y="20802"/>
              <wp:lineTo x="21461" y="15128"/>
              <wp:lineTo x="16669" y="10086"/>
              <wp:lineTo x="17086" y="2521"/>
              <wp:lineTo x="15002" y="630"/>
              <wp:lineTo x="4792" y="0"/>
              <wp:lineTo x="3334" y="0"/>
            </wp:wrapPolygon>
          </wp:wrapTight>
          <wp:docPr id="4" name="Picture 4" desc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DA logo"/>
                  <pic:cNvPicPr/>
                </pic:nvPicPr>
                <pic:blipFill>
                  <a:blip r:embed="rId2">
                    <a:extLst>
                      <a:ext uri="{28A0092B-C50C-407E-A947-70E740481C1C}">
                        <a14:useLocalDpi xmlns:a14="http://schemas.microsoft.com/office/drawing/2010/main" val="0"/>
                      </a:ext>
                    </a:extLst>
                  </a:blip>
                  <a:stretch>
                    <a:fillRect/>
                  </a:stretch>
                </pic:blipFill>
                <pic:spPr>
                  <a:xfrm>
                    <a:off x="0" y="0"/>
                    <a:ext cx="1974850" cy="652780"/>
                  </a:xfrm>
                  <a:prstGeom prst="rect">
                    <a:avLst/>
                  </a:prstGeom>
                </pic:spPr>
              </pic:pic>
            </a:graphicData>
          </a:graphic>
          <wp14:sizeRelH relativeFrom="page">
            <wp14:pctWidth>0</wp14:pctWidth>
          </wp14:sizeRelH>
          <wp14:sizeRelV relativeFrom="page">
            <wp14:pctHeight>0</wp14:pctHeight>
          </wp14:sizeRelV>
        </wp:anchor>
      </w:drawing>
    </w:r>
    <w:r w:rsidR="00916F66">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1E01" w14:textId="77777777" w:rsidR="003562D9" w:rsidRDefault="003562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304CFC"/>
    <w:multiLevelType w:val="hybridMultilevel"/>
    <w:tmpl w:val="8341D396"/>
    <w:lvl w:ilvl="0" w:tplc="FFFFFFFF">
      <w:start w:val="1"/>
      <w:numFmt w:val="ideographDigital"/>
      <w:lvlText w:val=""/>
      <w:lvlJc w:val="left"/>
    </w:lvl>
    <w:lvl w:ilvl="1" w:tplc="DA3CBC81">
      <w:start w:val="1"/>
      <w:numFmt w:val="bullet"/>
      <w:lvlText w:val="•"/>
      <w:lvlJc w:val="left"/>
    </w:lvl>
    <w:lvl w:ilvl="2" w:tplc="C2227FB9">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464E469"/>
    <w:multiLevelType w:val="hybridMultilevel"/>
    <w:tmpl w:val="F1332D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0D83375"/>
    <w:multiLevelType w:val="hybridMultilevel"/>
    <w:tmpl w:val="462794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2125D5"/>
    <w:multiLevelType w:val="hybridMultilevel"/>
    <w:tmpl w:val="4F60969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2EC546FB"/>
    <w:multiLevelType w:val="hybridMultilevel"/>
    <w:tmpl w:val="B779F45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1041B71"/>
    <w:multiLevelType w:val="hybridMultilevel"/>
    <w:tmpl w:val="F0405BF4"/>
    <w:lvl w:ilvl="0" w:tplc="0C0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0F876F6"/>
    <w:multiLevelType w:val="hybridMultilevel"/>
    <w:tmpl w:val="FF3A15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85268B5"/>
    <w:multiLevelType w:val="hybridMultilevel"/>
    <w:tmpl w:val="7918001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903F74B"/>
    <w:multiLevelType w:val="hybridMultilevel"/>
    <w:tmpl w:val="830A57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7942E76"/>
    <w:multiLevelType w:val="hybridMultilevel"/>
    <w:tmpl w:val="52B8E8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83624368">
    <w:abstractNumId w:val="4"/>
  </w:num>
  <w:num w:numId="2" w16cid:durableId="1861820292">
    <w:abstractNumId w:val="5"/>
  </w:num>
  <w:num w:numId="3" w16cid:durableId="118423746">
    <w:abstractNumId w:val="7"/>
  </w:num>
  <w:num w:numId="4" w16cid:durableId="829714903">
    <w:abstractNumId w:val="8"/>
  </w:num>
  <w:num w:numId="5" w16cid:durableId="2011835759">
    <w:abstractNumId w:val="2"/>
  </w:num>
  <w:num w:numId="6" w16cid:durableId="1684088728">
    <w:abstractNumId w:val="1"/>
  </w:num>
  <w:num w:numId="7" w16cid:durableId="113255429">
    <w:abstractNumId w:val="0"/>
  </w:num>
  <w:num w:numId="8" w16cid:durableId="52312831">
    <w:abstractNumId w:val="6"/>
  </w:num>
  <w:num w:numId="9" w16cid:durableId="1414283834">
    <w:abstractNumId w:val="3"/>
  </w:num>
  <w:num w:numId="10" w16cid:durableId="698921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EwNzK3tLQ0MjU2MzNW0lEKTi0uzszPAykwrgUAESrNAiwAAAA="/>
  </w:docVars>
  <w:rsids>
    <w:rsidRoot w:val="00A309D0"/>
    <w:rsid w:val="00021C73"/>
    <w:rsid w:val="0005358E"/>
    <w:rsid w:val="000B14EA"/>
    <w:rsid w:val="000C040F"/>
    <w:rsid w:val="000C7230"/>
    <w:rsid w:val="000D6094"/>
    <w:rsid w:val="00112C18"/>
    <w:rsid w:val="00131884"/>
    <w:rsid w:val="00144110"/>
    <w:rsid w:val="001702E1"/>
    <w:rsid w:val="001712A2"/>
    <w:rsid w:val="001A704F"/>
    <w:rsid w:val="001B5118"/>
    <w:rsid w:val="001E72E5"/>
    <w:rsid w:val="002043B3"/>
    <w:rsid w:val="0021293B"/>
    <w:rsid w:val="002239FF"/>
    <w:rsid w:val="00232CF7"/>
    <w:rsid w:val="0024363B"/>
    <w:rsid w:val="0027040F"/>
    <w:rsid w:val="00280EFA"/>
    <w:rsid w:val="0029173A"/>
    <w:rsid w:val="002B6C26"/>
    <w:rsid w:val="002B791C"/>
    <w:rsid w:val="002C4312"/>
    <w:rsid w:val="003073BC"/>
    <w:rsid w:val="00316A19"/>
    <w:rsid w:val="003376C2"/>
    <w:rsid w:val="003562D9"/>
    <w:rsid w:val="00362B66"/>
    <w:rsid w:val="003B054A"/>
    <w:rsid w:val="003B13FE"/>
    <w:rsid w:val="003C0E0F"/>
    <w:rsid w:val="003F322E"/>
    <w:rsid w:val="00431A48"/>
    <w:rsid w:val="00447119"/>
    <w:rsid w:val="00452E54"/>
    <w:rsid w:val="0047262A"/>
    <w:rsid w:val="0047531F"/>
    <w:rsid w:val="0048173D"/>
    <w:rsid w:val="0049381E"/>
    <w:rsid w:val="004C0C2A"/>
    <w:rsid w:val="0050179C"/>
    <w:rsid w:val="00516649"/>
    <w:rsid w:val="005363A8"/>
    <w:rsid w:val="00537DB7"/>
    <w:rsid w:val="00547C56"/>
    <w:rsid w:val="00572D24"/>
    <w:rsid w:val="0058017A"/>
    <w:rsid w:val="005A2545"/>
    <w:rsid w:val="005D4714"/>
    <w:rsid w:val="005D718D"/>
    <w:rsid w:val="00605B64"/>
    <w:rsid w:val="00610D71"/>
    <w:rsid w:val="00625529"/>
    <w:rsid w:val="00661669"/>
    <w:rsid w:val="00686A3E"/>
    <w:rsid w:val="00687459"/>
    <w:rsid w:val="00690309"/>
    <w:rsid w:val="006D24FD"/>
    <w:rsid w:val="006F4C46"/>
    <w:rsid w:val="007075CB"/>
    <w:rsid w:val="007148BF"/>
    <w:rsid w:val="007175C5"/>
    <w:rsid w:val="00755B51"/>
    <w:rsid w:val="00770AC4"/>
    <w:rsid w:val="00780989"/>
    <w:rsid w:val="007905BD"/>
    <w:rsid w:val="00790A6D"/>
    <w:rsid w:val="007951F9"/>
    <w:rsid w:val="007960EA"/>
    <w:rsid w:val="007A7E89"/>
    <w:rsid w:val="007B5661"/>
    <w:rsid w:val="007C2778"/>
    <w:rsid w:val="007F0AE0"/>
    <w:rsid w:val="00802FFC"/>
    <w:rsid w:val="00825DA3"/>
    <w:rsid w:val="00864D72"/>
    <w:rsid w:val="00895539"/>
    <w:rsid w:val="008A4A21"/>
    <w:rsid w:val="008D41DE"/>
    <w:rsid w:val="0090265C"/>
    <w:rsid w:val="0090723C"/>
    <w:rsid w:val="00916F66"/>
    <w:rsid w:val="00922065"/>
    <w:rsid w:val="00930CB9"/>
    <w:rsid w:val="009422E3"/>
    <w:rsid w:val="009519C6"/>
    <w:rsid w:val="0097746B"/>
    <w:rsid w:val="009A4F59"/>
    <w:rsid w:val="009F601E"/>
    <w:rsid w:val="009F744E"/>
    <w:rsid w:val="00A309D0"/>
    <w:rsid w:val="00A51B44"/>
    <w:rsid w:val="00A52456"/>
    <w:rsid w:val="00A63219"/>
    <w:rsid w:val="00A7780A"/>
    <w:rsid w:val="00AD0171"/>
    <w:rsid w:val="00AD01E3"/>
    <w:rsid w:val="00B03BA8"/>
    <w:rsid w:val="00B0731F"/>
    <w:rsid w:val="00B32351"/>
    <w:rsid w:val="00B43151"/>
    <w:rsid w:val="00B4650F"/>
    <w:rsid w:val="00B62B4B"/>
    <w:rsid w:val="00B83059"/>
    <w:rsid w:val="00BB1E13"/>
    <w:rsid w:val="00C13879"/>
    <w:rsid w:val="00C15AF1"/>
    <w:rsid w:val="00C23AE8"/>
    <w:rsid w:val="00C37580"/>
    <w:rsid w:val="00C401E0"/>
    <w:rsid w:val="00C4348E"/>
    <w:rsid w:val="00C43759"/>
    <w:rsid w:val="00CA26E1"/>
    <w:rsid w:val="00CA4CB5"/>
    <w:rsid w:val="00CB1273"/>
    <w:rsid w:val="00CC7D5B"/>
    <w:rsid w:val="00CD226D"/>
    <w:rsid w:val="00CE47DF"/>
    <w:rsid w:val="00D07389"/>
    <w:rsid w:val="00D60D1B"/>
    <w:rsid w:val="00D63436"/>
    <w:rsid w:val="00D95F5A"/>
    <w:rsid w:val="00DA0279"/>
    <w:rsid w:val="00DB4DEF"/>
    <w:rsid w:val="00DD1DA6"/>
    <w:rsid w:val="00DE2514"/>
    <w:rsid w:val="00DE3DC7"/>
    <w:rsid w:val="00E329DA"/>
    <w:rsid w:val="00E36BF7"/>
    <w:rsid w:val="00E37645"/>
    <w:rsid w:val="00E5787E"/>
    <w:rsid w:val="00E71F21"/>
    <w:rsid w:val="00E72AB3"/>
    <w:rsid w:val="00E73F76"/>
    <w:rsid w:val="00EA1B17"/>
    <w:rsid w:val="00EA596D"/>
    <w:rsid w:val="00EF01DC"/>
    <w:rsid w:val="00F62E9B"/>
    <w:rsid w:val="00F675E8"/>
    <w:rsid w:val="00FA43BF"/>
    <w:rsid w:val="00FA7B3A"/>
    <w:rsid w:val="00FB36C2"/>
    <w:rsid w:val="00FB41E5"/>
    <w:rsid w:val="00FD153C"/>
    <w:rsid w:val="00FF34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5E783"/>
  <w15:chartTrackingRefBased/>
  <w15:docId w15:val="{26949576-E05E-4AE1-86D3-A22A734D8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309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309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FD15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309D0"/>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uiPriority w:val="9"/>
    <w:rsid w:val="00A309D0"/>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309D0"/>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A309D0"/>
    <w:pPr>
      <w:ind w:left="720"/>
      <w:contextualSpacing/>
    </w:pPr>
  </w:style>
  <w:style w:type="character" w:styleId="Refdecomentario">
    <w:name w:val="annotation reference"/>
    <w:basedOn w:val="Fuentedeprrafopredeter"/>
    <w:uiPriority w:val="99"/>
    <w:semiHidden/>
    <w:unhideWhenUsed/>
    <w:rsid w:val="0047262A"/>
    <w:rPr>
      <w:sz w:val="16"/>
      <w:szCs w:val="16"/>
    </w:rPr>
  </w:style>
  <w:style w:type="paragraph" w:styleId="Textocomentario">
    <w:name w:val="annotation text"/>
    <w:basedOn w:val="Normal"/>
    <w:link w:val="TextocomentarioCar"/>
    <w:uiPriority w:val="99"/>
    <w:semiHidden/>
    <w:unhideWhenUsed/>
    <w:rsid w:val="0047262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7262A"/>
    <w:rPr>
      <w:sz w:val="20"/>
      <w:szCs w:val="20"/>
    </w:rPr>
  </w:style>
  <w:style w:type="paragraph" w:styleId="Asuntodelcomentario">
    <w:name w:val="annotation subject"/>
    <w:basedOn w:val="Textocomentario"/>
    <w:next w:val="Textocomentario"/>
    <w:link w:val="AsuntodelcomentarioCar"/>
    <w:uiPriority w:val="99"/>
    <w:semiHidden/>
    <w:unhideWhenUsed/>
    <w:rsid w:val="0047262A"/>
    <w:rPr>
      <w:b/>
      <w:bCs/>
    </w:rPr>
  </w:style>
  <w:style w:type="character" w:customStyle="1" w:styleId="AsuntodelcomentarioCar">
    <w:name w:val="Asunto del comentario Car"/>
    <w:basedOn w:val="TextocomentarioCar"/>
    <w:link w:val="Asuntodelcomentario"/>
    <w:uiPriority w:val="99"/>
    <w:semiHidden/>
    <w:rsid w:val="0047262A"/>
    <w:rPr>
      <w:b/>
      <w:bCs/>
      <w:sz w:val="20"/>
      <w:szCs w:val="20"/>
    </w:rPr>
  </w:style>
  <w:style w:type="paragraph" w:styleId="NormalWeb">
    <w:name w:val="Normal (Web)"/>
    <w:basedOn w:val="Normal"/>
    <w:uiPriority w:val="99"/>
    <w:semiHidden/>
    <w:unhideWhenUsed/>
    <w:rsid w:val="00E73F76"/>
    <w:pPr>
      <w:spacing w:before="100" w:beforeAutospacing="1" w:after="100" w:afterAutospacing="1" w:line="240" w:lineRule="auto"/>
    </w:pPr>
    <w:rPr>
      <w:rFonts w:ascii="Calibri" w:hAnsi="Calibri" w:cs="Calibri"/>
      <w:lang w:eastAsia="es-ES"/>
    </w:rPr>
  </w:style>
  <w:style w:type="paragraph" w:styleId="Encabezado">
    <w:name w:val="header"/>
    <w:basedOn w:val="Normal"/>
    <w:link w:val="EncabezadoCar"/>
    <w:uiPriority w:val="99"/>
    <w:unhideWhenUsed/>
    <w:rsid w:val="00916F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6F66"/>
  </w:style>
  <w:style w:type="paragraph" w:styleId="Piedepgina">
    <w:name w:val="footer"/>
    <w:basedOn w:val="Normal"/>
    <w:link w:val="PiedepginaCar"/>
    <w:uiPriority w:val="99"/>
    <w:unhideWhenUsed/>
    <w:rsid w:val="00916F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6F66"/>
  </w:style>
  <w:style w:type="character" w:styleId="nfasis">
    <w:name w:val="Emphasis"/>
    <w:basedOn w:val="Fuentedeprrafopredeter"/>
    <w:uiPriority w:val="20"/>
    <w:qFormat/>
    <w:rsid w:val="007A7E89"/>
    <w:rPr>
      <w:i/>
      <w:iCs/>
    </w:rPr>
  </w:style>
  <w:style w:type="character" w:styleId="Hipervnculo">
    <w:name w:val="Hyperlink"/>
    <w:basedOn w:val="Fuentedeprrafopredeter"/>
    <w:uiPriority w:val="99"/>
    <w:unhideWhenUsed/>
    <w:rsid w:val="00A51B44"/>
    <w:rPr>
      <w:color w:val="0563C1" w:themeColor="hyperlink"/>
      <w:u w:val="single"/>
    </w:rPr>
  </w:style>
  <w:style w:type="character" w:styleId="Mencinsinresolver">
    <w:name w:val="Unresolved Mention"/>
    <w:basedOn w:val="Fuentedeprrafopredeter"/>
    <w:uiPriority w:val="99"/>
    <w:semiHidden/>
    <w:unhideWhenUsed/>
    <w:rsid w:val="00A51B44"/>
    <w:rPr>
      <w:color w:val="605E5C"/>
      <w:shd w:val="clear" w:color="auto" w:fill="E1DFDD"/>
    </w:rPr>
  </w:style>
  <w:style w:type="character" w:customStyle="1" w:styleId="Ttulo3Car">
    <w:name w:val="Título 3 Car"/>
    <w:basedOn w:val="Fuentedeprrafopredeter"/>
    <w:link w:val="Ttulo3"/>
    <w:uiPriority w:val="9"/>
    <w:semiHidden/>
    <w:rsid w:val="00FD153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051516">
      <w:bodyDiv w:val="1"/>
      <w:marLeft w:val="0"/>
      <w:marRight w:val="0"/>
      <w:marTop w:val="0"/>
      <w:marBottom w:val="0"/>
      <w:divBdr>
        <w:top w:val="none" w:sz="0" w:space="0" w:color="auto"/>
        <w:left w:val="none" w:sz="0" w:space="0" w:color="auto"/>
        <w:bottom w:val="none" w:sz="0" w:space="0" w:color="auto"/>
        <w:right w:val="none" w:sz="0" w:space="0" w:color="auto"/>
      </w:divBdr>
    </w:div>
    <w:div w:id="527068212">
      <w:bodyDiv w:val="1"/>
      <w:marLeft w:val="0"/>
      <w:marRight w:val="0"/>
      <w:marTop w:val="0"/>
      <w:marBottom w:val="0"/>
      <w:divBdr>
        <w:top w:val="none" w:sz="0" w:space="0" w:color="auto"/>
        <w:left w:val="none" w:sz="0" w:space="0" w:color="auto"/>
        <w:bottom w:val="none" w:sz="0" w:space="0" w:color="auto"/>
        <w:right w:val="none" w:sz="0" w:space="0" w:color="auto"/>
      </w:divBdr>
    </w:div>
    <w:div w:id="1536308063">
      <w:bodyDiv w:val="1"/>
      <w:marLeft w:val="0"/>
      <w:marRight w:val="0"/>
      <w:marTop w:val="0"/>
      <w:marBottom w:val="0"/>
      <w:divBdr>
        <w:top w:val="none" w:sz="0" w:space="0" w:color="auto"/>
        <w:left w:val="none" w:sz="0" w:space="0" w:color="auto"/>
        <w:bottom w:val="none" w:sz="0" w:space="0" w:color="auto"/>
        <w:right w:val="none" w:sz="0" w:space="0" w:color="auto"/>
      </w:divBdr>
    </w:div>
    <w:div w:id="1776095937">
      <w:bodyDiv w:val="1"/>
      <w:marLeft w:val="0"/>
      <w:marRight w:val="0"/>
      <w:marTop w:val="0"/>
      <w:marBottom w:val="0"/>
      <w:divBdr>
        <w:top w:val="none" w:sz="0" w:space="0" w:color="auto"/>
        <w:left w:val="none" w:sz="0" w:space="0" w:color="auto"/>
        <w:bottom w:val="none" w:sz="0" w:space="0" w:color="auto"/>
        <w:right w:val="none" w:sz="0" w:space="0" w:color="auto"/>
      </w:divBdr>
    </w:div>
    <w:div w:id="205700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ttps://wfdb.eu/wfdb-report-2022/"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mailto:https://wfdb.eu/wfdb-report-2018/"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ommunication@wfdb.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ttps://wfdb.eu/wfdb-report-2022/"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https://shapes2020.eu/" TargetMode="External"/><Relationship Id="rId23" Type="http://schemas.openxmlformats.org/officeDocument/2006/relationships/fontTable" Target="fontTable.xml"/><Relationship Id="rId10" Type="http://schemas.openxmlformats.org/officeDocument/2006/relationships/hyperlink" Target="mailto:https://wfdb.eu/"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ttps://wfdb.eu/wfdb-report-2022/"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7B8E2D2B5CF354BB070A9384949FAE3" ma:contentTypeVersion="12" ma:contentTypeDescription="Opprett et nytt dokument." ma:contentTypeScope="" ma:versionID="994c5955e7b07e260586f414c811eea6">
  <xsd:schema xmlns:xsd="http://www.w3.org/2001/XMLSchema" xmlns:xs="http://www.w3.org/2001/XMLSchema" xmlns:p="http://schemas.microsoft.com/office/2006/metadata/properties" xmlns:ns2="9be4fc57-632a-46dd-b406-eed3ffd114cc" xmlns:ns3="83ec91c8-9676-456f-b8fb-6a3fcf179371" targetNamespace="http://schemas.microsoft.com/office/2006/metadata/properties" ma:root="true" ma:fieldsID="b11ebf81bb52c04d0e100048ff198672" ns2:_="" ns3:_="">
    <xsd:import namespace="9be4fc57-632a-46dd-b406-eed3ffd114cc"/>
    <xsd:import namespace="83ec91c8-9676-456f-b8fb-6a3fcf1793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4fc57-632a-46dd-b406-eed3ffd114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ec91c8-9676-456f-b8fb-6a3fcf179371"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61AEAD-9A28-4270-BDAD-CEFFAB05D0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F7C40A-B521-4E9C-AF99-ABC2DFC9768C}">
  <ds:schemaRefs>
    <ds:schemaRef ds:uri="http://schemas.microsoft.com/sharepoint/v3/contenttype/forms"/>
  </ds:schemaRefs>
</ds:datastoreItem>
</file>

<file path=customXml/itemProps3.xml><?xml version="1.0" encoding="utf-8"?>
<ds:datastoreItem xmlns:ds="http://schemas.openxmlformats.org/officeDocument/2006/customXml" ds:itemID="{80324434-EFF7-44E6-B286-13E3130FD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4fc57-632a-46dd-b406-eed3ffd114cc"/>
    <ds:schemaRef ds:uri="83ec91c8-9676-456f-b8fb-6a3fcf179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576</Words>
  <Characters>3173</Characters>
  <Application>Microsoft Office Word</Application>
  <DocSecurity>0</DocSecurity>
  <Lines>26</Lines>
  <Paragraphs>7</Paragraphs>
  <ScaleCrop>false</ScaleCrop>
  <HeadingPairs>
    <vt:vector size="6" baseType="variant">
      <vt:variant>
        <vt:lpstr>Título</vt:lpstr>
      </vt:variant>
      <vt:variant>
        <vt:i4>1</vt:i4>
      </vt:variant>
      <vt:variant>
        <vt:lpstr>Tittel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Lucía D'Arino Mancuso</dc:creator>
  <cp:keywords/>
  <dc:description/>
  <cp:lastModifiedBy>Lucia D'Arino</cp:lastModifiedBy>
  <cp:revision>40</cp:revision>
  <dcterms:created xsi:type="dcterms:W3CDTF">2021-11-02T12:09:00Z</dcterms:created>
  <dcterms:modified xsi:type="dcterms:W3CDTF">2023-04-17T12:00:00Z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0x01010097B8E2D2B5CF354BB070A9384949FAE3</vt:lpwstr>
  </property>
</Properties>
</file>